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09" w:rsidRDefault="00716171">
      <w:pPr>
        <w:rPr>
          <w:rFonts w:ascii="Arial" w:eastAsia="Calibri" w:hAnsi="Arial" w:cs="Arial"/>
          <w:b/>
          <w:lang w:val="en-US"/>
        </w:rPr>
      </w:pPr>
      <w:bookmarkStart w:id="0" w:name="_GoBack"/>
      <w:bookmarkEnd w:id="0"/>
      <w:r>
        <w:rPr>
          <w:rFonts w:ascii="Arial" w:eastAsia="Calibri" w:hAnsi="Arial" w:cs="Arial"/>
          <w:b/>
          <w:lang w:eastAsia="en-US"/>
        </w:rPr>
        <w:t>CS 31 Resolve customers’ complaints</w:t>
      </w:r>
    </w:p>
    <w:tbl>
      <w:tblPr>
        <w:tblStyle w:val="TableGrid1"/>
        <w:tblW w:w="0" w:type="auto"/>
        <w:tblLook w:val="04A0" w:firstRow="1" w:lastRow="0" w:firstColumn="1" w:lastColumn="0" w:noHBand="0" w:noVBand="1"/>
        <w:tblCaption w:val=""/>
        <w:tblDescription w:val=""/>
      </w:tblPr>
      <w:tblGrid>
        <w:gridCol w:w="2245"/>
        <w:gridCol w:w="3330"/>
        <w:gridCol w:w="7375"/>
      </w:tblGrid>
      <w:tr w:rsidR="007C2A09">
        <w:tc>
          <w:tcPr>
            <w:tcW w:w="2245" w:type="dxa"/>
            <w:tcBorders>
              <w:bottom w:val="single" w:sz="4" w:space="0" w:color="auto"/>
            </w:tcBorders>
          </w:tcPr>
          <w:p w:rsidR="007C2A09" w:rsidRDefault="00716171">
            <w:pPr>
              <w:rPr>
                <w:rFonts w:ascii="Arial" w:eastAsia="Calibri" w:hAnsi="Arial" w:cs="Arial"/>
                <w:b/>
              </w:rPr>
            </w:pPr>
            <w:r>
              <w:rPr>
                <w:rFonts w:ascii="Arial" w:eastAsia="Calibri" w:hAnsi="Arial" w:cs="Arial"/>
                <w:b/>
                <w:lang w:eastAsia="en-US"/>
              </w:rPr>
              <w:t>Learning Outcome</w:t>
            </w:r>
          </w:p>
        </w:tc>
        <w:tc>
          <w:tcPr>
            <w:tcW w:w="3330" w:type="dxa"/>
            <w:tcBorders>
              <w:bottom w:val="single" w:sz="4" w:space="0" w:color="auto"/>
            </w:tcBorders>
          </w:tcPr>
          <w:p w:rsidR="007C2A09" w:rsidRDefault="00716171">
            <w:pPr>
              <w:rPr>
                <w:rFonts w:ascii="Arial" w:eastAsia="Calibri" w:hAnsi="Arial" w:cs="Arial"/>
                <w:b/>
              </w:rPr>
            </w:pPr>
            <w:r>
              <w:rPr>
                <w:rFonts w:ascii="Arial" w:eastAsia="Calibri" w:hAnsi="Arial" w:cs="Arial"/>
                <w:b/>
                <w:lang w:eastAsia="en-US"/>
              </w:rPr>
              <w:t>Assessment Criteria</w:t>
            </w:r>
          </w:p>
        </w:tc>
        <w:tc>
          <w:tcPr>
            <w:tcW w:w="7375" w:type="dxa"/>
          </w:tcPr>
          <w:p w:rsidR="007C2A09" w:rsidRDefault="00716171">
            <w:pPr>
              <w:rPr>
                <w:rFonts w:ascii="Arial" w:eastAsia="Calibri" w:hAnsi="Arial" w:cs="Arial"/>
                <w:b/>
              </w:rPr>
            </w:pPr>
            <w:r>
              <w:rPr>
                <w:rFonts w:ascii="Arial" w:eastAsia="Calibri" w:hAnsi="Arial" w:cs="Arial"/>
                <w:b/>
                <w:lang w:eastAsia="en-US"/>
              </w:rPr>
              <w:t>Guidelines and range</w:t>
            </w:r>
          </w:p>
          <w:p w:rsidR="007C2A09" w:rsidRDefault="00716171">
            <w:pPr>
              <w:rPr>
                <w:rFonts w:ascii="Arial" w:eastAsia="Calibri" w:hAnsi="Arial" w:cs="Arial"/>
                <w:b/>
              </w:rPr>
            </w:pPr>
            <w:r>
              <w:rPr>
                <w:rFonts w:ascii="Arial" w:eastAsia="Calibri" w:hAnsi="Arial" w:cs="Arial"/>
                <w:b/>
                <w:lang w:eastAsia="en-US"/>
              </w:rPr>
              <w:t>The candidate provides evidence that they understand:</w:t>
            </w:r>
          </w:p>
        </w:tc>
      </w:tr>
      <w:tr w:rsidR="007C2A09">
        <w:trPr>
          <w:trHeight w:val="569"/>
        </w:trPr>
        <w:tc>
          <w:tcPr>
            <w:tcW w:w="2245" w:type="dxa"/>
            <w:vMerge w:val="restart"/>
          </w:tcPr>
          <w:p w:rsidR="007C2A09" w:rsidRDefault="00716171">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1. Understand the monitoring and resolution of customers’ complaints </w:t>
            </w:r>
          </w:p>
          <w:p w:rsidR="007C2A09" w:rsidRDefault="007C2A09">
            <w:pPr>
              <w:pStyle w:val="Default"/>
              <w:rPr>
                <w:rFonts w:ascii="Arial" w:eastAsia="Arial" w:hAnsi="Arial" w:cs="Arial"/>
                <w:color w:val="auto"/>
                <w:sz w:val="20"/>
                <w:szCs w:val="20"/>
              </w:rPr>
            </w:pPr>
          </w:p>
          <w:p w:rsidR="007C2A09" w:rsidRDefault="007C2A09">
            <w:pPr>
              <w:pStyle w:val="Default"/>
              <w:rPr>
                <w:rFonts w:ascii="Arial" w:eastAsia="Arial" w:hAnsi="Arial" w:cs="Arial"/>
                <w:color w:val="auto"/>
                <w:sz w:val="20"/>
                <w:szCs w:val="20"/>
              </w:rPr>
            </w:pPr>
          </w:p>
        </w:tc>
        <w:tc>
          <w:tcPr>
            <w:tcW w:w="3330" w:type="dxa"/>
          </w:tcPr>
          <w:p w:rsidR="007C2A09" w:rsidRDefault="00716171">
            <w:pPr>
              <w:pStyle w:val="Default"/>
              <w:numPr>
                <w:ilvl w:val="1"/>
                <w:numId w:val="3"/>
              </w:numPr>
              <w:rPr>
                <w:rFonts w:ascii="Arial" w:eastAsia="Arial" w:hAnsi="Arial" w:cs="Arial"/>
                <w:color w:val="auto"/>
                <w:sz w:val="20"/>
                <w:szCs w:val="20"/>
              </w:rPr>
            </w:pPr>
            <w:r>
              <w:rPr>
                <w:rFonts w:ascii="Arial" w:eastAsia="Arial" w:hAnsi="Arial" w:cs="Arial"/>
                <w:color w:val="auto"/>
                <w:sz w:val="20"/>
                <w:szCs w:val="20"/>
                <w:lang w:eastAsia="en-US"/>
              </w:rPr>
              <w:t>Assess the suitability of a</w:t>
            </w:r>
          </w:p>
          <w:p w:rsidR="007C2A09" w:rsidRDefault="00716171">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range of monitoring techniques for customers’ complaints </w:t>
            </w:r>
          </w:p>
          <w:p w:rsidR="007C2A09" w:rsidRDefault="007C2A09">
            <w:pPr>
              <w:pStyle w:val="Default"/>
              <w:rPr>
                <w:rFonts w:ascii="Arial" w:eastAsia="Arial" w:hAnsi="Arial" w:cs="Arial"/>
                <w:color w:val="auto"/>
                <w:sz w:val="20"/>
                <w:szCs w:val="20"/>
              </w:rPr>
            </w:pPr>
          </w:p>
        </w:tc>
        <w:tc>
          <w:tcPr>
            <w:tcW w:w="7375" w:type="dxa"/>
          </w:tcPr>
          <w:p w:rsidR="007C2A09" w:rsidRDefault="00716171">
            <w:pPr>
              <w:autoSpaceDE w:val="0"/>
              <w:autoSpaceDN w:val="0"/>
              <w:adjustRightInd w:val="0"/>
              <w:rPr>
                <w:rFonts w:ascii="Arial" w:hAnsi="Arial" w:cs="Arial"/>
              </w:rPr>
            </w:pPr>
            <w:r>
              <w:rPr>
                <w:rFonts w:ascii="Arial" w:hAnsi="Arial" w:cs="Arial"/>
              </w:rPr>
              <w:t>Monitoring techniques</w:t>
            </w:r>
          </w:p>
          <w:p w:rsidR="007C2A09" w:rsidRDefault="00716171">
            <w:pPr>
              <w:numPr>
                <w:ilvl w:val="0"/>
                <w:numId w:val="4"/>
              </w:numPr>
              <w:autoSpaceDE w:val="0"/>
              <w:autoSpaceDN w:val="0"/>
              <w:adjustRightInd w:val="0"/>
              <w:rPr>
                <w:rFonts w:ascii="Arial" w:hAnsi="Arial" w:cs="Arial"/>
              </w:rPr>
            </w:pPr>
            <w:r>
              <w:rPr>
                <w:rFonts w:ascii="Arial" w:hAnsi="Arial" w:cs="Arial"/>
              </w:rPr>
              <w:t>Customer feedback</w:t>
            </w:r>
          </w:p>
          <w:p w:rsidR="007C2A09" w:rsidRDefault="00716171">
            <w:pPr>
              <w:numPr>
                <w:ilvl w:val="0"/>
                <w:numId w:val="4"/>
              </w:numPr>
              <w:autoSpaceDE w:val="0"/>
              <w:autoSpaceDN w:val="0"/>
              <w:adjustRightInd w:val="0"/>
              <w:rPr>
                <w:rFonts w:ascii="Arial" w:hAnsi="Arial" w:cs="Arial"/>
              </w:rPr>
            </w:pPr>
            <w:r>
              <w:rPr>
                <w:rFonts w:ascii="Arial" w:hAnsi="Arial" w:cs="Arial"/>
              </w:rPr>
              <w:t>Customer records</w:t>
            </w:r>
          </w:p>
          <w:p w:rsidR="007C2A09" w:rsidRDefault="00716171">
            <w:pPr>
              <w:numPr>
                <w:ilvl w:val="0"/>
                <w:numId w:val="4"/>
              </w:numPr>
              <w:autoSpaceDE w:val="0"/>
              <w:autoSpaceDN w:val="0"/>
              <w:adjustRightInd w:val="0"/>
              <w:rPr>
                <w:rFonts w:ascii="Arial" w:hAnsi="Arial" w:cs="Arial"/>
              </w:rPr>
            </w:pPr>
            <w:r>
              <w:rPr>
                <w:rFonts w:ascii="Arial" w:hAnsi="Arial" w:cs="Arial"/>
              </w:rPr>
              <w:t xml:space="preserve">Sales </w:t>
            </w:r>
          </w:p>
          <w:p w:rsidR="007C2A09" w:rsidRDefault="00716171">
            <w:pPr>
              <w:numPr>
                <w:ilvl w:val="0"/>
                <w:numId w:val="4"/>
              </w:numPr>
              <w:autoSpaceDE w:val="0"/>
              <w:autoSpaceDN w:val="0"/>
              <w:adjustRightInd w:val="0"/>
              <w:rPr>
                <w:rFonts w:ascii="Arial" w:hAnsi="Arial" w:cs="Arial"/>
              </w:rPr>
            </w:pPr>
            <w:r>
              <w:rPr>
                <w:rFonts w:ascii="Arial" w:hAnsi="Arial" w:cs="Arial"/>
              </w:rPr>
              <w:t xml:space="preserve">Returns </w:t>
            </w:r>
          </w:p>
          <w:p w:rsidR="007C2A09" w:rsidRDefault="007C2A09">
            <w:pPr>
              <w:tabs>
                <w:tab w:val="left" w:pos="1245"/>
              </w:tabs>
              <w:rPr>
                <w:rFonts w:ascii="Arial" w:hAnsi="Arial" w:cs="Arial"/>
              </w:rPr>
            </w:pPr>
          </w:p>
          <w:p w:rsidR="007C2A09" w:rsidRDefault="007C2A09">
            <w:pPr>
              <w:autoSpaceDE w:val="0"/>
              <w:autoSpaceDN w:val="0"/>
              <w:adjustRightInd w:val="0"/>
              <w:rPr>
                <w:rFonts w:ascii="Arial" w:hAnsi="Arial" w:cs="Arial"/>
              </w:rPr>
            </w:pPr>
          </w:p>
          <w:p w:rsidR="007C2A09" w:rsidRDefault="007C2A09">
            <w:pPr>
              <w:pStyle w:val="ListParagraph1"/>
              <w:rPr>
                <w:rFonts w:ascii="Arial" w:eastAsia="Calibri" w:hAnsi="Arial" w:cs="Arial"/>
              </w:rPr>
            </w:pPr>
          </w:p>
        </w:tc>
      </w:tr>
      <w:tr w:rsidR="007C2A09">
        <w:trPr>
          <w:trHeight w:val="569"/>
        </w:trPr>
        <w:tc>
          <w:tcPr>
            <w:tcW w:w="2245" w:type="dxa"/>
            <w:vMerge/>
          </w:tcPr>
          <w:p w:rsidR="007C2A09" w:rsidRDefault="007C2A09">
            <w:pPr>
              <w:pStyle w:val="Default"/>
              <w:rPr>
                <w:rFonts w:ascii="Arial" w:eastAsia="Arial" w:hAnsi="Arial" w:cs="Arial"/>
                <w:color w:val="auto"/>
                <w:sz w:val="20"/>
                <w:szCs w:val="20"/>
              </w:rPr>
            </w:pPr>
          </w:p>
        </w:tc>
        <w:tc>
          <w:tcPr>
            <w:tcW w:w="3330" w:type="dxa"/>
          </w:tcPr>
          <w:p w:rsidR="007C2A09" w:rsidRDefault="00716171">
            <w:pPr>
              <w:pStyle w:val="Default"/>
              <w:numPr>
                <w:ilvl w:val="1"/>
                <w:numId w:val="3"/>
              </w:numPr>
              <w:rPr>
                <w:rFonts w:ascii="Arial" w:eastAsia="Arial" w:hAnsi="Arial" w:cs="Arial"/>
                <w:color w:val="auto"/>
                <w:sz w:val="20"/>
                <w:szCs w:val="20"/>
              </w:rPr>
            </w:pPr>
            <w:r>
              <w:rPr>
                <w:rFonts w:ascii="Arial" w:eastAsia="Arial" w:hAnsi="Arial" w:cs="Arial"/>
                <w:color w:val="auto"/>
                <w:sz w:val="20"/>
                <w:szCs w:val="20"/>
                <w:lang w:eastAsia="en-US"/>
              </w:rPr>
              <w:t>Explain how to identify those</w:t>
            </w:r>
          </w:p>
          <w:p w:rsidR="007C2A09" w:rsidRDefault="00716171">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complaints that should prompt a review of the service offer and service delivery </w:t>
            </w:r>
          </w:p>
          <w:p w:rsidR="007C2A09" w:rsidRDefault="007C2A09">
            <w:pPr>
              <w:pStyle w:val="Default"/>
              <w:rPr>
                <w:rFonts w:ascii="Arial" w:eastAsia="Arial" w:hAnsi="Arial" w:cs="Arial"/>
                <w:color w:val="auto"/>
                <w:sz w:val="20"/>
                <w:szCs w:val="20"/>
              </w:rPr>
            </w:pPr>
          </w:p>
        </w:tc>
        <w:tc>
          <w:tcPr>
            <w:tcW w:w="7375" w:type="dxa"/>
          </w:tcPr>
          <w:p w:rsidR="007C2A09" w:rsidRDefault="00716171">
            <w:pPr>
              <w:tabs>
                <w:tab w:val="left" w:pos="1245"/>
              </w:tabs>
              <w:rPr>
                <w:rFonts w:ascii="Arial" w:hAnsi="Arial" w:cs="Arial"/>
              </w:rPr>
            </w:pPr>
            <w:r>
              <w:rPr>
                <w:rFonts w:ascii="Arial" w:hAnsi="Arial" w:cs="Arial"/>
                <w:lang w:eastAsia="en-US"/>
              </w:rPr>
              <w:t>Service offer</w:t>
            </w:r>
          </w:p>
          <w:p w:rsidR="007C2A09" w:rsidRDefault="00716171">
            <w:pPr>
              <w:tabs>
                <w:tab w:val="left" w:pos="1245"/>
              </w:tabs>
              <w:rPr>
                <w:rFonts w:ascii="Arial" w:hAnsi="Arial" w:cs="Arial"/>
              </w:rPr>
            </w:pPr>
            <w:r>
              <w:rPr>
                <w:rFonts w:ascii="Arial" w:hAnsi="Arial" w:cs="Arial"/>
                <w:lang w:eastAsia="en-US"/>
              </w:rPr>
              <w:t>This details what an organisation will do for a customer, what level of customer service will be on offer and the limit of what will be offered. It also ensures consistency in the service offered.</w:t>
            </w:r>
          </w:p>
          <w:p w:rsidR="007C2A09" w:rsidRDefault="007C2A09">
            <w:pPr>
              <w:tabs>
                <w:tab w:val="left" w:pos="1245"/>
              </w:tabs>
              <w:rPr>
                <w:rFonts w:ascii="Arial" w:hAnsi="Arial" w:cs="Arial"/>
              </w:rPr>
            </w:pPr>
          </w:p>
          <w:p w:rsidR="007C2A09" w:rsidRDefault="00716171">
            <w:pPr>
              <w:autoSpaceDE w:val="0"/>
              <w:autoSpaceDN w:val="0"/>
              <w:adjustRightInd w:val="0"/>
              <w:rPr>
                <w:rFonts w:ascii="Arial" w:hAnsi="Arial" w:cs="Arial"/>
              </w:rPr>
            </w:pPr>
            <w:r>
              <w:rPr>
                <w:rFonts w:ascii="Arial" w:hAnsi="Arial" w:cs="Arial"/>
              </w:rPr>
              <w:t>Service delivery</w:t>
            </w:r>
          </w:p>
          <w:p w:rsidR="007C2A09" w:rsidRDefault="00716171">
            <w:pPr>
              <w:autoSpaceDE w:val="0"/>
              <w:autoSpaceDN w:val="0"/>
              <w:adjustRightInd w:val="0"/>
              <w:rPr>
                <w:rFonts w:ascii="Arial" w:hAnsi="Arial" w:cs="Arial"/>
              </w:rPr>
            </w:pPr>
            <w:r>
              <w:rPr>
                <w:rFonts w:ascii="Arial" w:hAnsi="Arial" w:cs="Arial"/>
              </w:rPr>
              <w:t>This is about getting the goods or services to the customer in the optimum or agreed timescale e.g. from the number of people who can be waiting in a queue at the till before assistance must be requested to the length of time callers should be waiting befo</w:t>
            </w:r>
            <w:r>
              <w:rPr>
                <w:rFonts w:ascii="Arial" w:hAnsi="Arial" w:cs="Arial"/>
              </w:rPr>
              <w:t>re answered or keeping to an agreed product delivery time.</w:t>
            </w:r>
          </w:p>
          <w:p w:rsidR="007C2A09" w:rsidRDefault="007C2A09">
            <w:pPr>
              <w:pStyle w:val="ListParagraph1"/>
              <w:rPr>
                <w:rFonts w:ascii="Arial" w:eastAsia="Calibri" w:hAnsi="Arial" w:cs="Arial"/>
              </w:rPr>
            </w:pPr>
          </w:p>
        </w:tc>
      </w:tr>
      <w:tr w:rsidR="007C2A09">
        <w:trPr>
          <w:trHeight w:val="569"/>
        </w:trPr>
        <w:tc>
          <w:tcPr>
            <w:tcW w:w="2245" w:type="dxa"/>
            <w:vMerge/>
          </w:tcPr>
          <w:p w:rsidR="007C2A09" w:rsidRDefault="007C2A09">
            <w:pPr>
              <w:pStyle w:val="Default"/>
              <w:rPr>
                <w:rFonts w:ascii="Arial" w:eastAsia="Arial" w:hAnsi="Arial" w:cs="Arial"/>
                <w:color w:val="auto"/>
                <w:sz w:val="20"/>
                <w:szCs w:val="20"/>
              </w:rPr>
            </w:pPr>
          </w:p>
        </w:tc>
        <w:tc>
          <w:tcPr>
            <w:tcW w:w="3330" w:type="dxa"/>
          </w:tcPr>
          <w:p w:rsidR="007C2A09" w:rsidRDefault="00716171">
            <w:pPr>
              <w:pStyle w:val="Default"/>
              <w:numPr>
                <w:ilvl w:val="1"/>
                <w:numId w:val="3"/>
              </w:numPr>
              <w:rPr>
                <w:rFonts w:ascii="Arial" w:eastAsia="Arial" w:hAnsi="Arial" w:cs="Arial"/>
                <w:color w:val="auto"/>
                <w:sz w:val="20"/>
                <w:szCs w:val="20"/>
              </w:rPr>
            </w:pPr>
            <w:r>
              <w:rPr>
                <w:rFonts w:ascii="Arial" w:eastAsia="Arial" w:hAnsi="Arial" w:cs="Arial"/>
                <w:color w:val="auto"/>
                <w:sz w:val="20"/>
                <w:szCs w:val="20"/>
                <w:lang w:eastAsia="en-US"/>
              </w:rPr>
              <w:t xml:space="preserve">Explain negotiating techniques </w:t>
            </w:r>
          </w:p>
          <w:p w:rsidR="007C2A09" w:rsidRDefault="00716171">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used to resolve customers’ complaints </w:t>
            </w:r>
          </w:p>
          <w:p w:rsidR="007C2A09" w:rsidRDefault="007C2A09">
            <w:pPr>
              <w:pStyle w:val="Default"/>
              <w:rPr>
                <w:rFonts w:ascii="Arial" w:eastAsia="Arial" w:hAnsi="Arial" w:cs="Arial"/>
                <w:color w:val="auto"/>
                <w:sz w:val="20"/>
                <w:szCs w:val="20"/>
              </w:rPr>
            </w:pPr>
          </w:p>
        </w:tc>
        <w:tc>
          <w:tcPr>
            <w:tcW w:w="7375" w:type="dxa"/>
          </w:tcPr>
          <w:p w:rsidR="007C2A09" w:rsidRDefault="00716171">
            <w:pPr>
              <w:autoSpaceDE w:val="0"/>
              <w:autoSpaceDN w:val="0"/>
              <w:adjustRightInd w:val="0"/>
              <w:rPr>
                <w:rFonts w:ascii="Arial" w:hAnsi="Arial" w:cs="Arial"/>
              </w:rPr>
            </w:pPr>
            <w:r>
              <w:rPr>
                <w:rFonts w:ascii="Arial" w:hAnsi="Arial" w:cs="Arial"/>
              </w:rPr>
              <w:t>Negotiating techniques</w:t>
            </w:r>
          </w:p>
          <w:p w:rsidR="007C2A09" w:rsidRDefault="00716171">
            <w:pPr>
              <w:numPr>
                <w:ilvl w:val="0"/>
                <w:numId w:val="5"/>
              </w:numPr>
              <w:contextualSpacing/>
              <w:rPr>
                <w:rFonts w:ascii="Arial" w:hAnsi="Arial" w:cs="Arial"/>
              </w:rPr>
            </w:pPr>
            <w:r>
              <w:rPr>
                <w:rFonts w:ascii="Arial" w:hAnsi="Arial" w:cs="Arial"/>
                <w:lang w:eastAsia="en-US"/>
              </w:rPr>
              <w:t>Know what has to be achieved</w:t>
            </w:r>
          </w:p>
          <w:p w:rsidR="007C2A09" w:rsidRDefault="00716171">
            <w:pPr>
              <w:numPr>
                <w:ilvl w:val="0"/>
                <w:numId w:val="5"/>
              </w:numPr>
              <w:contextualSpacing/>
              <w:rPr>
                <w:rFonts w:ascii="Arial" w:hAnsi="Arial" w:cs="Arial"/>
              </w:rPr>
            </w:pPr>
            <w:r>
              <w:rPr>
                <w:rFonts w:ascii="Arial" w:hAnsi="Arial" w:cs="Arial"/>
                <w:lang w:eastAsia="en-US"/>
              </w:rPr>
              <w:t xml:space="preserve">Prepare for any discussion </w:t>
            </w:r>
          </w:p>
          <w:p w:rsidR="007C2A09" w:rsidRDefault="00716171">
            <w:pPr>
              <w:numPr>
                <w:ilvl w:val="0"/>
                <w:numId w:val="5"/>
              </w:numPr>
              <w:contextualSpacing/>
              <w:rPr>
                <w:rFonts w:ascii="Arial" w:hAnsi="Arial" w:cs="Arial"/>
              </w:rPr>
            </w:pPr>
            <w:r>
              <w:rPr>
                <w:rFonts w:ascii="Arial" w:hAnsi="Arial" w:cs="Arial"/>
                <w:lang w:eastAsia="en-US"/>
              </w:rPr>
              <w:t>Be confident</w:t>
            </w:r>
          </w:p>
          <w:p w:rsidR="007C2A09" w:rsidRDefault="00716171">
            <w:pPr>
              <w:numPr>
                <w:ilvl w:val="0"/>
                <w:numId w:val="5"/>
              </w:numPr>
              <w:contextualSpacing/>
              <w:rPr>
                <w:rFonts w:ascii="Arial" w:hAnsi="Arial" w:cs="Arial"/>
              </w:rPr>
            </w:pPr>
            <w:r>
              <w:rPr>
                <w:rFonts w:ascii="Arial" w:hAnsi="Arial" w:cs="Arial"/>
                <w:lang w:eastAsia="en-US"/>
              </w:rPr>
              <w:t xml:space="preserve">Share information </w:t>
            </w:r>
          </w:p>
          <w:p w:rsidR="007C2A09" w:rsidRDefault="00716171">
            <w:pPr>
              <w:numPr>
                <w:ilvl w:val="0"/>
                <w:numId w:val="5"/>
              </w:numPr>
              <w:contextualSpacing/>
              <w:rPr>
                <w:rFonts w:ascii="Arial" w:hAnsi="Arial" w:cs="Arial"/>
              </w:rPr>
            </w:pPr>
            <w:r>
              <w:rPr>
                <w:rFonts w:ascii="Arial" w:hAnsi="Arial" w:cs="Arial"/>
                <w:lang w:eastAsia="en-US"/>
              </w:rPr>
              <w:t>Listen</w:t>
            </w:r>
          </w:p>
          <w:p w:rsidR="007C2A09" w:rsidRDefault="00716171">
            <w:pPr>
              <w:numPr>
                <w:ilvl w:val="0"/>
                <w:numId w:val="5"/>
              </w:numPr>
              <w:contextualSpacing/>
              <w:rPr>
                <w:rFonts w:ascii="Arial" w:hAnsi="Arial" w:cs="Arial"/>
              </w:rPr>
            </w:pPr>
            <w:r>
              <w:rPr>
                <w:rFonts w:ascii="Arial" w:hAnsi="Arial" w:cs="Arial"/>
                <w:lang w:eastAsia="en-US"/>
              </w:rPr>
              <w:t>Be</w:t>
            </w:r>
            <w:r>
              <w:rPr>
                <w:rFonts w:ascii="Arial" w:hAnsi="Arial" w:cs="Arial"/>
                <w:lang w:eastAsia="en-US"/>
              </w:rPr>
              <w:t xml:space="preserve"> ready for compromise</w:t>
            </w:r>
          </w:p>
          <w:p w:rsidR="007C2A09" w:rsidRDefault="00716171">
            <w:pPr>
              <w:numPr>
                <w:ilvl w:val="0"/>
                <w:numId w:val="5"/>
              </w:numPr>
              <w:contextualSpacing/>
              <w:rPr>
                <w:rFonts w:ascii="Arial" w:hAnsi="Arial" w:cs="Arial"/>
              </w:rPr>
            </w:pPr>
            <w:r>
              <w:rPr>
                <w:rFonts w:ascii="Arial" w:hAnsi="Arial" w:cs="Arial"/>
                <w:lang w:eastAsia="en-US"/>
              </w:rPr>
              <w:t>Close with confirmation</w:t>
            </w:r>
          </w:p>
          <w:p w:rsidR="007C2A09" w:rsidRDefault="007C2A09">
            <w:pPr>
              <w:rPr>
                <w:rFonts w:ascii="Arial" w:hAnsi="Arial" w:cs="Arial"/>
              </w:rPr>
            </w:pPr>
          </w:p>
          <w:p w:rsidR="007C2A09" w:rsidRDefault="007C2A09">
            <w:pPr>
              <w:pStyle w:val="ListParagraph1"/>
              <w:rPr>
                <w:rFonts w:ascii="Arial" w:eastAsia="Calibri" w:hAnsi="Arial" w:cs="Arial"/>
              </w:rPr>
            </w:pPr>
          </w:p>
        </w:tc>
      </w:tr>
      <w:tr w:rsidR="007C2A09">
        <w:trPr>
          <w:trHeight w:val="569"/>
        </w:trPr>
        <w:tc>
          <w:tcPr>
            <w:tcW w:w="2245" w:type="dxa"/>
            <w:vMerge/>
          </w:tcPr>
          <w:p w:rsidR="007C2A09" w:rsidRDefault="007C2A09">
            <w:pPr>
              <w:pStyle w:val="Default"/>
              <w:rPr>
                <w:rFonts w:ascii="Arial" w:eastAsia="Arial" w:hAnsi="Arial" w:cs="Arial"/>
                <w:color w:val="auto"/>
                <w:sz w:val="20"/>
                <w:szCs w:val="20"/>
              </w:rPr>
            </w:pPr>
          </w:p>
        </w:tc>
        <w:tc>
          <w:tcPr>
            <w:tcW w:w="3330" w:type="dxa"/>
          </w:tcPr>
          <w:p w:rsidR="007C2A09" w:rsidRDefault="00716171">
            <w:pPr>
              <w:pStyle w:val="Default"/>
              <w:numPr>
                <w:ilvl w:val="1"/>
                <w:numId w:val="3"/>
              </w:numPr>
              <w:rPr>
                <w:rFonts w:ascii="Arial" w:eastAsia="Arial" w:hAnsi="Arial" w:cs="Arial"/>
                <w:color w:val="auto"/>
                <w:sz w:val="20"/>
                <w:szCs w:val="20"/>
              </w:rPr>
            </w:pPr>
            <w:r>
              <w:rPr>
                <w:rFonts w:ascii="Arial" w:eastAsia="Arial" w:hAnsi="Arial" w:cs="Arial"/>
                <w:color w:val="auto"/>
                <w:sz w:val="20"/>
                <w:szCs w:val="20"/>
                <w:lang w:eastAsia="en-US"/>
              </w:rPr>
              <w:t xml:space="preserve">Explain conflict management </w:t>
            </w:r>
          </w:p>
          <w:p w:rsidR="007C2A09" w:rsidRDefault="00716171">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techniques used in dealing with upset customers </w:t>
            </w:r>
          </w:p>
          <w:p w:rsidR="007C2A09" w:rsidRDefault="007C2A09">
            <w:pPr>
              <w:pStyle w:val="Default"/>
              <w:rPr>
                <w:rFonts w:ascii="Arial" w:eastAsia="Arial" w:hAnsi="Arial" w:cs="Arial"/>
                <w:color w:val="auto"/>
                <w:sz w:val="20"/>
                <w:szCs w:val="20"/>
              </w:rPr>
            </w:pPr>
          </w:p>
        </w:tc>
        <w:tc>
          <w:tcPr>
            <w:tcW w:w="7375" w:type="dxa"/>
          </w:tcPr>
          <w:p w:rsidR="007C2A09" w:rsidRDefault="00716171">
            <w:pPr>
              <w:rPr>
                <w:rFonts w:ascii="Arial" w:hAnsi="Arial" w:cs="Arial"/>
              </w:rPr>
            </w:pPr>
            <w:r>
              <w:rPr>
                <w:rFonts w:ascii="Arial" w:hAnsi="Arial" w:cs="Arial"/>
                <w:lang w:eastAsia="en-US"/>
              </w:rPr>
              <w:t>Conflict management techniques</w:t>
            </w:r>
          </w:p>
          <w:p w:rsidR="007C2A09" w:rsidRDefault="00716171">
            <w:pPr>
              <w:numPr>
                <w:ilvl w:val="0"/>
                <w:numId w:val="6"/>
              </w:numPr>
              <w:contextualSpacing/>
              <w:rPr>
                <w:rFonts w:ascii="Arial" w:hAnsi="Arial" w:cs="Arial"/>
              </w:rPr>
            </w:pPr>
            <w:r>
              <w:rPr>
                <w:rFonts w:ascii="Arial" w:hAnsi="Arial" w:cs="Arial"/>
                <w:lang w:eastAsia="en-US"/>
              </w:rPr>
              <w:t>Listen</w:t>
            </w:r>
          </w:p>
          <w:p w:rsidR="007C2A09" w:rsidRDefault="00716171">
            <w:pPr>
              <w:numPr>
                <w:ilvl w:val="0"/>
                <w:numId w:val="6"/>
              </w:numPr>
              <w:ind w:left="714" w:hanging="357"/>
              <w:contextualSpacing/>
              <w:rPr>
                <w:rFonts w:ascii="Arial" w:hAnsi="Arial" w:cs="Arial"/>
              </w:rPr>
            </w:pPr>
            <w:r>
              <w:rPr>
                <w:rFonts w:ascii="Arial" w:hAnsi="Arial" w:cs="Arial"/>
                <w:lang w:eastAsia="en-US"/>
              </w:rPr>
              <w:t>Be assertive – not aggressive</w:t>
            </w:r>
          </w:p>
          <w:p w:rsidR="007C2A09" w:rsidRDefault="00716171">
            <w:pPr>
              <w:numPr>
                <w:ilvl w:val="0"/>
                <w:numId w:val="6"/>
              </w:numPr>
              <w:autoSpaceDE w:val="0"/>
              <w:autoSpaceDN w:val="0"/>
              <w:adjustRightInd w:val="0"/>
              <w:rPr>
                <w:rFonts w:ascii="Arial" w:hAnsi="Arial" w:cs="Arial"/>
              </w:rPr>
            </w:pPr>
            <w:r>
              <w:rPr>
                <w:rFonts w:ascii="Arial" w:hAnsi="Arial" w:cs="Arial"/>
              </w:rPr>
              <w:t>Remain calm</w:t>
            </w:r>
          </w:p>
          <w:p w:rsidR="007C2A09" w:rsidRDefault="00716171">
            <w:pPr>
              <w:numPr>
                <w:ilvl w:val="0"/>
                <w:numId w:val="6"/>
              </w:numPr>
              <w:autoSpaceDE w:val="0"/>
              <w:autoSpaceDN w:val="0"/>
              <w:adjustRightInd w:val="0"/>
              <w:rPr>
                <w:rFonts w:ascii="Arial" w:hAnsi="Arial" w:cs="Arial"/>
              </w:rPr>
            </w:pPr>
            <w:r>
              <w:rPr>
                <w:rFonts w:ascii="Arial" w:hAnsi="Arial" w:cs="Arial"/>
              </w:rPr>
              <w:t>Show</w:t>
            </w:r>
            <w:r>
              <w:rPr>
                <w:rFonts w:ascii="Arial" w:hAnsi="Arial" w:cs="Arial"/>
              </w:rPr>
              <w:t xml:space="preserve"> understanding and be prepared to seek a solution</w:t>
            </w:r>
          </w:p>
          <w:p w:rsidR="007C2A09" w:rsidRDefault="00716171">
            <w:pPr>
              <w:numPr>
                <w:ilvl w:val="0"/>
                <w:numId w:val="6"/>
              </w:numPr>
              <w:rPr>
                <w:rFonts w:ascii="Arial" w:eastAsiaTheme="minorEastAsia" w:hAnsi="Arial" w:cs="Arial"/>
                <w:spacing w:val="15"/>
              </w:rPr>
            </w:pPr>
            <w:r>
              <w:rPr>
                <w:rFonts w:ascii="Arial" w:eastAsia="MS Mincho" w:hAnsi="Arial" w:cs="Arial"/>
                <w:spacing w:val="15"/>
                <w:lang w:eastAsia="en-US"/>
              </w:rPr>
              <w:t>Consider a compromise</w:t>
            </w:r>
          </w:p>
          <w:p w:rsidR="007C2A09" w:rsidRDefault="00716171">
            <w:pPr>
              <w:numPr>
                <w:ilvl w:val="0"/>
                <w:numId w:val="6"/>
              </w:numPr>
              <w:contextualSpacing/>
              <w:rPr>
                <w:rFonts w:ascii="Arial" w:hAnsi="Arial" w:cs="Arial"/>
              </w:rPr>
            </w:pPr>
            <w:r>
              <w:rPr>
                <w:rFonts w:ascii="Arial" w:hAnsi="Arial" w:cs="Arial"/>
                <w:lang w:eastAsia="en-US"/>
              </w:rPr>
              <w:lastRenderedPageBreak/>
              <w:t>Recognize when it is not working and when to involve others.</w:t>
            </w:r>
          </w:p>
          <w:p w:rsidR="007C2A09" w:rsidRDefault="007C2A09">
            <w:pPr>
              <w:autoSpaceDE w:val="0"/>
              <w:autoSpaceDN w:val="0"/>
              <w:adjustRightInd w:val="0"/>
              <w:rPr>
                <w:rFonts w:ascii="Arial" w:hAnsi="Arial" w:cs="Arial"/>
              </w:rPr>
            </w:pPr>
          </w:p>
          <w:p w:rsidR="007C2A09" w:rsidRDefault="007C2A09">
            <w:pPr>
              <w:pStyle w:val="ListParagraph1"/>
              <w:rPr>
                <w:rFonts w:ascii="Arial" w:eastAsia="Calibri" w:hAnsi="Arial" w:cs="Arial"/>
              </w:rPr>
            </w:pPr>
          </w:p>
        </w:tc>
      </w:tr>
      <w:tr w:rsidR="007C2A09">
        <w:trPr>
          <w:trHeight w:val="569"/>
        </w:trPr>
        <w:tc>
          <w:tcPr>
            <w:tcW w:w="2245" w:type="dxa"/>
            <w:vMerge/>
          </w:tcPr>
          <w:p w:rsidR="007C2A09" w:rsidRDefault="007C2A09">
            <w:pPr>
              <w:pStyle w:val="Default"/>
              <w:rPr>
                <w:rFonts w:ascii="Arial" w:eastAsia="Arial" w:hAnsi="Arial" w:cs="Arial"/>
                <w:color w:val="auto"/>
                <w:sz w:val="20"/>
                <w:szCs w:val="20"/>
              </w:rPr>
            </w:pPr>
          </w:p>
        </w:tc>
        <w:tc>
          <w:tcPr>
            <w:tcW w:w="3330" w:type="dxa"/>
          </w:tcPr>
          <w:p w:rsidR="007C2A09" w:rsidRDefault="00716171">
            <w:pPr>
              <w:pStyle w:val="Default"/>
              <w:numPr>
                <w:ilvl w:val="1"/>
                <w:numId w:val="3"/>
              </w:numPr>
              <w:rPr>
                <w:rFonts w:ascii="Arial" w:eastAsia="Arial" w:hAnsi="Arial" w:cs="Arial"/>
                <w:color w:val="auto"/>
                <w:sz w:val="20"/>
                <w:szCs w:val="20"/>
              </w:rPr>
            </w:pPr>
            <w:r>
              <w:rPr>
                <w:rFonts w:ascii="Arial" w:eastAsia="Arial" w:hAnsi="Arial" w:cs="Arial"/>
                <w:color w:val="auto"/>
                <w:sz w:val="20"/>
                <w:szCs w:val="20"/>
                <w:lang w:eastAsia="en-US"/>
              </w:rPr>
              <w:t xml:space="preserve">Explain organisational </w:t>
            </w:r>
          </w:p>
          <w:p w:rsidR="007C2A09" w:rsidRDefault="00716171">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procedures for dealing with customer complaints </w:t>
            </w:r>
          </w:p>
          <w:p w:rsidR="007C2A09" w:rsidRDefault="007C2A09">
            <w:pPr>
              <w:pStyle w:val="Default"/>
              <w:rPr>
                <w:rFonts w:ascii="Arial" w:eastAsia="Arial" w:hAnsi="Arial" w:cs="Arial"/>
                <w:color w:val="auto"/>
                <w:sz w:val="20"/>
                <w:szCs w:val="20"/>
              </w:rPr>
            </w:pPr>
          </w:p>
        </w:tc>
        <w:tc>
          <w:tcPr>
            <w:tcW w:w="7375" w:type="dxa"/>
          </w:tcPr>
          <w:p w:rsidR="007C2A09" w:rsidRDefault="007C2A09">
            <w:pPr>
              <w:pStyle w:val="ListParagraph1"/>
              <w:rPr>
                <w:rFonts w:ascii="Arial" w:eastAsia="Calibri" w:hAnsi="Arial" w:cs="Arial"/>
              </w:rPr>
            </w:pPr>
          </w:p>
        </w:tc>
      </w:tr>
      <w:tr w:rsidR="007C2A09">
        <w:trPr>
          <w:trHeight w:val="569"/>
        </w:trPr>
        <w:tc>
          <w:tcPr>
            <w:tcW w:w="2245" w:type="dxa"/>
            <w:vMerge/>
          </w:tcPr>
          <w:p w:rsidR="007C2A09" w:rsidRDefault="007C2A09">
            <w:pPr>
              <w:pStyle w:val="Default"/>
              <w:rPr>
                <w:rFonts w:ascii="Arial" w:eastAsia="Arial" w:hAnsi="Arial" w:cs="Arial"/>
                <w:color w:val="auto"/>
                <w:sz w:val="20"/>
                <w:szCs w:val="20"/>
              </w:rPr>
            </w:pPr>
          </w:p>
        </w:tc>
        <w:tc>
          <w:tcPr>
            <w:tcW w:w="3330" w:type="dxa"/>
          </w:tcPr>
          <w:p w:rsidR="007C2A09" w:rsidRDefault="00716171">
            <w:pPr>
              <w:pStyle w:val="Default"/>
              <w:numPr>
                <w:ilvl w:val="1"/>
                <w:numId w:val="3"/>
              </w:numPr>
              <w:rPr>
                <w:rFonts w:ascii="Arial" w:eastAsia="Arial" w:hAnsi="Arial" w:cs="Arial"/>
                <w:color w:val="auto"/>
                <w:sz w:val="20"/>
                <w:szCs w:val="20"/>
              </w:rPr>
            </w:pPr>
            <w:r>
              <w:rPr>
                <w:rFonts w:ascii="Arial" w:eastAsia="Arial" w:hAnsi="Arial" w:cs="Arial"/>
                <w:color w:val="auto"/>
                <w:sz w:val="20"/>
                <w:szCs w:val="20"/>
                <w:lang w:eastAsia="en-US"/>
              </w:rPr>
              <w:t xml:space="preserve">Explain when to escalate </w:t>
            </w:r>
          </w:p>
          <w:p w:rsidR="007C2A09" w:rsidRDefault="00716171">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customers’ complaints </w:t>
            </w:r>
          </w:p>
          <w:p w:rsidR="007C2A09" w:rsidRDefault="007C2A09">
            <w:pPr>
              <w:pStyle w:val="Default"/>
              <w:rPr>
                <w:rFonts w:ascii="Arial" w:eastAsia="Arial" w:hAnsi="Arial" w:cs="Arial"/>
                <w:color w:val="auto"/>
                <w:sz w:val="20"/>
                <w:szCs w:val="20"/>
              </w:rPr>
            </w:pPr>
          </w:p>
        </w:tc>
        <w:tc>
          <w:tcPr>
            <w:tcW w:w="7375" w:type="dxa"/>
          </w:tcPr>
          <w:p w:rsidR="007C2A09" w:rsidRDefault="007C2A09">
            <w:pPr>
              <w:pStyle w:val="ListParagraph1"/>
              <w:rPr>
                <w:rFonts w:ascii="Arial" w:eastAsia="Calibri" w:hAnsi="Arial" w:cs="Arial"/>
              </w:rPr>
            </w:pPr>
          </w:p>
        </w:tc>
      </w:tr>
      <w:tr w:rsidR="007C2A09">
        <w:trPr>
          <w:trHeight w:val="569"/>
        </w:trPr>
        <w:tc>
          <w:tcPr>
            <w:tcW w:w="2245" w:type="dxa"/>
            <w:vMerge/>
          </w:tcPr>
          <w:p w:rsidR="007C2A09" w:rsidRDefault="007C2A09">
            <w:pPr>
              <w:pStyle w:val="Default"/>
              <w:rPr>
                <w:rFonts w:ascii="Arial" w:eastAsia="Arial" w:hAnsi="Arial" w:cs="Arial"/>
                <w:color w:val="auto"/>
                <w:sz w:val="20"/>
                <w:szCs w:val="20"/>
              </w:rPr>
            </w:pPr>
          </w:p>
        </w:tc>
        <w:tc>
          <w:tcPr>
            <w:tcW w:w="3330" w:type="dxa"/>
          </w:tcPr>
          <w:p w:rsidR="007C2A09" w:rsidRDefault="00716171">
            <w:pPr>
              <w:pStyle w:val="Default"/>
              <w:numPr>
                <w:ilvl w:val="1"/>
                <w:numId w:val="3"/>
              </w:numPr>
              <w:rPr>
                <w:rFonts w:ascii="Arial" w:eastAsia="Arial" w:hAnsi="Arial" w:cs="Arial"/>
                <w:color w:val="auto"/>
                <w:sz w:val="20"/>
                <w:szCs w:val="20"/>
              </w:rPr>
            </w:pPr>
            <w:r>
              <w:rPr>
                <w:rFonts w:ascii="Arial" w:eastAsia="Arial" w:hAnsi="Arial" w:cs="Arial"/>
                <w:color w:val="auto"/>
                <w:sz w:val="20"/>
                <w:szCs w:val="20"/>
                <w:lang w:eastAsia="en-US"/>
              </w:rPr>
              <w:t xml:space="preserve">Explain the cost and </w:t>
            </w:r>
          </w:p>
          <w:p w:rsidR="007C2A09" w:rsidRDefault="00716171">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regulatory implications of admitting liability on the basis of a customer complaint </w:t>
            </w:r>
          </w:p>
          <w:p w:rsidR="007C2A09" w:rsidRDefault="007C2A09">
            <w:pPr>
              <w:pStyle w:val="Default"/>
              <w:rPr>
                <w:rFonts w:ascii="Arial" w:eastAsia="Arial" w:hAnsi="Arial" w:cs="Arial"/>
                <w:color w:val="auto"/>
                <w:sz w:val="20"/>
                <w:szCs w:val="20"/>
              </w:rPr>
            </w:pPr>
          </w:p>
        </w:tc>
        <w:tc>
          <w:tcPr>
            <w:tcW w:w="7375" w:type="dxa"/>
          </w:tcPr>
          <w:p w:rsidR="007C2A09" w:rsidRDefault="007C2A09">
            <w:pPr>
              <w:pStyle w:val="ListParagraph1"/>
              <w:rPr>
                <w:rFonts w:ascii="Arial" w:eastAsia="Calibri" w:hAnsi="Arial" w:cs="Arial"/>
              </w:rPr>
            </w:pPr>
          </w:p>
        </w:tc>
      </w:tr>
      <w:tr w:rsidR="007C2A09">
        <w:trPr>
          <w:trHeight w:val="569"/>
        </w:trPr>
        <w:tc>
          <w:tcPr>
            <w:tcW w:w="2245" w:type="dxa"/>
            <w:vMerge/>
          </w:tcPr>
          <w:p w:rsidR="007C2A09" w:rsidRDefault="007C2A09">
            <w:pPr>
              <w:pStyle w:val="Default"/>
              <w:rPr>
                <w:rFonts w:ascii="Arial" w:eastAsia="Arial" w:hAnsi="Arial" w:cs="Arial"/>
                <w:color w:val="auto"/>
                <w:sz w:val="20"/>
                <w:szCs w:val="20"/>
              </w:rPr>
            </w:pPr>
          </w:p>
        </w:tc>
        <w:tc>
          <w:tcPr>
            <w:tcW w:w="3330" w:type="dxa"/>
          </w:tcPr>
          <w:p w:rsidR="007C2A09" w:rsidRDefault="00716171">
            <w:pPr>
              <w:pStyle w:val="Default"/>
              <w:numPr>
                <w:ilvl w:val="1"/>
                <w:numId w:val="3"/>
              </w:numPr>
              <w:rPr>
                <w:rFonts w:ascii="Arial" w:eastAsia="Arial" w:hAnsi="Arial" w:cs="Arial"/>
                <w:color w:val="auto"/>
                <w:sz w:val="20"/>
                <w:szCs w:val="20"/>
              </w:rPr>
            </w:pPr>
            <w:r>
              <w:rPr>
                <w:rFonts w:ascii="Arial" w:eastAsia="Arial" w:hAnsi="Arial" w:cs="Arial"/>
                <w:color w:val="auto"/>
                <w:sz w:val="20"/>
                <w:szCs w:val="20"/>
                <w:lang w:eastAsia="en-US"/>
              </w:rPr>
              <w:t xml:space="preserve">Explain the advantages and </w:t>
            </w:r>
          </w:p>
          <w:p w:rsidR="007C2A09" w:rsidRDefault="00716171">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limitations of offering compensation or replacement products and/or services </w:t>
            </w:r>
          </w:p>
          <w:p w:rsidR="007C2A09" w:rsidRDefault="007C2A09">
            <w:pPr>
              <w:pStyle w:val="Default"/>
              <w:rPr>
                <w:rFonts w:ascii="Arial" w:eastAsia="Arial" w:hAnsi="Arial" w:cs="Arial"/>
                <w:color w:val="auto"/>
                <w:sz w:val="20"/>
                <w:szCs w:val="20"/>
              </w:rPr>
            </w:pPr>
          </w:p>
        </w:tc>
        <w:tc>
          <w:tcPr>
            <w:tcW w:w="7375" w:type="dxa"/>
          </w:tcPr>
          <w:p w:rsidR="007C2A09" w:rsidRDefault="007C2A09">
            <w:pPr>
              <w:pStyle w:val="ListParagraph1"/>
              <w:rPr>
                <w:rFonts w:ascii="Arial" w:eastAsia="Calibri" w:hAnsi="Arial" w:cs="Arial"/>
              </w:rPr>
            </w:pPr>
          </w:p>
        </w:tc>
      </w:tr>
      <w:tr w:rsidR="007C2A09">
        <w:trPr>
          <w:trHeight w:val="569"/>
        </w:trPr>
        <w:tc>
          <w:tcPr>
            <w:tcW w:w="12950" w:type="dxa"/>
            <w:gridSpan w:val="3"/>
          </w:tcPr>
          <w:p w:rsidR="007C2A09" w:rsidRDefault="00716171">
            <w:pPr>
              <w:autoSpaceDE w:val="0"/>
              <w:autoSpaceDN w:val="0"/>
              <w:adjustRightInd w:val="0"/>
              <w:rPr>
                <w:rFonts w:ascii="Arial" w:hAnsi="Arial" w:cs="Arial"/>
              </w:rPr>
            </w:pPr>
            <w:r>
              <w:rPr>
                <w:rFonts w:ascii="Arial" w:hAnsi="Arial" w:cs="Arial"/>
              </w:rPr>
              <w:t>Evidence may be supplied by:</w:t>
            </w:r>
          </w:p>
          <w:p w:rsidR="007C2A09" w:rsidRDefault="00716171">
            <w:pPr>
              <w:numPr>
                <w:ilvl w:val="0"/>
                <w:numId w:val="7"/>
              </w:numPr>
              <w:autoSpaceDE w:val="0"/>
              <w:autoSpaceDN w:val="0"/>
              <w:adjustRightInd w:val="0"/>
              <w:rPr>
                <w:rFonts w:ascii="Arial" w:hAnsi="Arial" w:cs="Arial"/>
              </w:rPr>
            </w:pPr>
            <w:r>
              <w:rPr>
                <w:rFonts w:ascii="Arial" w:hAnsi="Arial" w:cs="Arial"/>
              </w:rPr>
              <w:t>Professional discussion</w:t>
            </w:r>
          </w:p>
          <w:p w:rsidR="007C2A09" w:rsidRDefault="00716171">
            <w:pPr>
              <w:numPr>
                <w:ilvl w:val="0"/>
                <w:numId w:val="7"/>
              </w:numPr>
              <w:autoSpaceDE w:val="0"/>
              <w:autoSpaceDN w:val="0"/>
              <w:adjustRightInd w:val="0"/>
              <w:rPr>
                <w:rFonts w:ascii="Arial" w:hAnsi="Arial" w:cs="Arial"/>
              </w:rPr>
            </w:pPr>
            <w:r>
              <w:rPr>
                <w:rFonts w:ascii="Arial" w:hAnsi="Arial" w:cs="Arial"/>
              </w:rPr>
              <w:t xml:space="preserve">Reflective account </w:t>
            </w:r>
          </w:p>
          <w:p w:rsidR="007C2A09" w:rsidRDefault="00716171">
            <w:pPr>
              <w:numPr>
                <w:ilvl w:val="0"/>
                <w:numId w:val="7"/>
              </w:numPr>
              <w:autoSpaceDE w:val="0"/>
              <w:autoSpaceDN w:val="0"/>
              <w:adjustRightInd w:val="0"/>
              <w:rPr>
                <w:rFonts w:ascii="Arial" w:hAnsi="Arial" w:cs="Arial"/>
              </w:rPr>
            </w:pPr>
            <w:r>
              <w:rPr>
                <w:rFonts w:ascii="Arial" w:hAnsi="Arial" w:cs="Arial"/>
              </w:rPr>
              <w:t>Questioning</w:t>
            </w:r>
          </w:p>
          <w:p w:rsidR="007C2A09" w:rsidRDefault="00716171">
            <w:pPr>
              <w:numPr>
                <w:ilvl w:val="0"/>
                <w:numId w:val="7"/>
              </w:numPr>
              <w:autoSpaceDE w:val="0"/>
              <w:autoSpaceDN w:val="0"/>
              <w:adjustRightInd w:val="0"/>
              <w:rPr>
                <w:rFonts w:ascii="Arial" w:hAnsi="Arial" w:cs="Arial"/>
              </w:rPr>
            </w:pPr>
            <w:r>
              <w:rPr>
                <w:rFonts w:ascii="Arial" w:hAnsi="Arial" w:cs="Arial"/>
              </w:rPr>
              <w:t>Organisational policies and procedures</w:t>
            </w:r>
          </w:p>
          <w:p w:rsidR="007C2A09" w:rsidRDefault="00716171">
            <w:pPr>
              <w:numPr>
                <w:ilvl w:val="0"/>
                <w:numId w:val="7"/>
              </w:numPr>
              <w:autoSpaceDE w:val="0"/>
              <w:autoSpaceDN w:val="0"/>
              <w:adjustRightInd w:val="0"/>
              <w:rPr>
                <w:rFonts w:ascii="Arial" w:hAnsi="Arial" w:cs="Arial"/>
              </w:rPr>
            </w:pPr>
            <w:r>
              <w:rPr>
                <w:rFonts w:ascii="Arial" w:hAnsi="Arial" w:cs="Arial"/>
              </w:rPr>
              <w:t>Conflict management techniques</w:t>
            </w:r>
          </w:p>
          <w:p w:rsidR="007C2A09" w:rsidRDefault="00716171">
            <w:pPr>
              <w:numPr>
                <w:ilvl w:val="0"/>
                <w:numId w:val="7"/>
              </w:numPr>
              <w:autoSpaceDE w:val="0"/>
              <w:autoSpaceDN w:val="0"/>
              <w:adjustRightInd w:val="0"/>
              <w:rPr>
                <w:rFonts w:ascii="Arial" w:hAnsi="Arial" w:cs="Arial"/>
              </w:rPr>
            </w:pPr>
            <w:r>
              <w:rPr>
                <w:rFonts w:ascii="Arial" w:hAnsi="Arial" w:cs="Arial"/>
              </w:rPr>
              <w:t>Service offer</w:t>
            </w:r>
          </w:p>
          <w:p w:rsidR="007C2A09" w:rsidRDefault="00716171">
            <w:pPr>
              <w:numPr>
                <w:ilvl w:val="0"/>
                <w:numId w:val="7"/>
              </w:numPr>
              <w:autoSpaceDE w:val="0"/>
              <w:autoSpaceDN w:val="0"/>
              <w:adjustRightInd w:val="0"/>
              <w:rPr>
                <w:rFonts w:ascii="Arial" w:hAnsi="Arial" w:cs="Arial"/>
              </w:rPr>
            </w:pPr>
            <w:r>
              <w:rPr>
                <w:rFonts w:ascii="Arial" w:hAnsi="Arial" w:cs="Arial"/>
              </w:rPr>
              <w:t>Refund policy</w:t>
            </w:r>
          </w:p>
          <w:p w:rsidR="007C2A09" w:rsidRDefault="00716171">
            <w:pPr>
              <w:numPr>
                <w:ilvl w:val="0"/>
                <w:numId w:val="7"/>
              </w:numPr>
              <w:autoSpaceDE w:val="0"/>
              <w:autoSpaceDN w:val="0"/>
              <w:adjustRightInd w:val="0"/>
              <w:rPr>
                <w:rFonts w:ascii="Arial" w:eastAsia="Calibri" w:hAnsi="Arial" w:cs="Arial"/>
              </w:rPr>
            </w:pPr>
            <w:r>
              <w:rPr>
                <w:rFonts w:ascii="Arial" w:hAnsi="Arial" w:cs="Arial"/>
              </w:rPr>
              <w:t>Knowledge base content*</w:t>
            </w:r>
          </w:p>
          <w:p w:rsidR="007C2A09" w:rsidRDefault="007C2A09">
            <w:pPr>
              <w:autoSpaceDE w:val="0"/>
              <w:autoSpaceDN w:val="0"/>
              <w:adjustRightInd w:val="0"/>
              <w:rPr>
                <w:rFonts w:ascii="Arial" w:eastAsia="Calibri" w:hAnsi="Arial" w:cs="Arial"/>
              </w:rPr>
            </w:pPr>
          </w:p>
        </w:tc>
      </w:tr>
      <w:tr w:rsidR="007C2A09">
        <w:trPr>
          <w:trHeight w:val="569"/>
        </w:trPr>
        <w:tc>
          <w:tcPr>
            <w:tcW w:w="2245" w:type="dxa"/>
            <w:vMerge w:val="restart"/>
          </w:tcPr>
          <w:p w:rsidR="007C2A09" w:rsidRDefault="00716171">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2. Be able to deal with customers’ complaints </w:t>
            </w:r>
          </w:p>
          <w:p w:rsidR="007C2A09" w:rsidRDefault="007C2A09">
            <w:pPr>
              <w:pStyle w:val="Default"/>
              <w:rPr>
                <w:rFonts w:ascii="Arial" w:eastAsia="Arial" w:hAnsi="Arial" w:cs="Arial"/>
                <w:color w:val="auto"/>
                <w:sz w:val="20"/>
                <w:szCs w:val="20"/>
              </w:rPr>
            </w:pPr>
          </w:p>
        </w:tc>
        <w:tc>
          <w:tcPr>
            <w:tcW w:w="3330" w:type="dxa"/>
          </w:tcPr>
          <w:p w:rsidR="007C2A09" w:rsidRDefault="00716171">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2.1 Confirm the nature, cause and implications of customers’ complaints </w:t>
            </w:r>
          </w:p>
          <w:p w:rsidR="007C2A09" w:rsidRDefault="007C2A09">
            <w:pPr>
              <w:pStyle w:val="Default"/>
              <w:rPr>
                <w:rFonts w:ascii="Arial" w:eastAsia="Arial" w:hAnsi="Arial" w:cs="Arial"/>
                <w:color w:val="auto"/>
                <w:sz w:val="20"/>
                <w:szCs w:val="20"/>
              </w:rPr>
            </w:pPr>
          </w:p>
        </w:tc>
        <w:tc>
          <w:tcPr>
            <w:tcW w:w="7375" w:type="dxa"/>
          </w:tcPr>
          <w:p w:rsidR="007C2A09" w:rsidRDefault="007C2A09">
            <w:pPr>
              <w:rPr>
                <w:rFonts w:ascii="Arial" w:eastAsia="Arial" w:hAnsi="Arial" w:cs="Arial"/>
              </w:rPr>
            </w:pPr>
          </w:p>
          <w:p w:rsidR="007C2A09" w:rsidRDefault="007C2A09">
            <w:pPr>
              <w:pStyle w:val="ListParagraph1"/>
              <w:rPr>
                <w:rFonts w:ascii="Arial" w:eastAsia="Arial" w:hAnsi="Arial" w:cs="Arial"/>
              </w:rPr>
            </w:pPr>
          </w:p>
          <w:p w:rsidR="007C2A09" w:rsidRDefault="007C2A09">
            <w:pPr>
              <w:rPr>
                <w:rFonts w:ascii="Arial" w:eastAsia="Arial" w:hAnsi="Arial" w:cs="Arial"/>
              </w:rPr>
            </w:pPr>
          </w:p>
          <w:p w:rsidR="007C2A09" w:rsidRDefault="007C2A09">
            <w:pPr>
              <w:pStyle w:val="ListParagraph1"/>
              <w:rPr>
                <w:rFonts w:ascii="Arial" w:eastAsia="Calibri" w:hAnsi="Arial" w:cs="Arial"/>
              </w:rPr>
            </w:pPr>
          </w:p>
        </w:tc>
      </w:tr>
      <w:tr w:rsidR="007C2A09">
        <w:trPr>
          <w:trHeight w:val="569"/>
        </w:trPr>
        <w:tc>
          <w:tcPr>
            <w:tcW w:w="2245" w:type="dxa"/>
            <w:vMerge/>
          </w:tcPr>
          <w:p w:rsidR="007C2A09" w:rsidRDefault="007C2A09">
            <w:pPr>
              <w:rPr>
                <w:rFonts w:ascii="Arial" w:eastAsia="Calibri" w:hAnsi="Arial" w:cs="Arial"/>
              </w:rPr>
            </w:pPr>
          </w:p>
        </w:tc>
        <w:tc>
          <w:tcPr>
            <w:tcW w:w="3330" w:type="dxa"/>
          </w:tcPr>
          <w:p w:rsidR="007C2A09" w:rsidRDefault="00716171">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2.2 Take personal responsibility for dealing with complaints </w:t>
            </w:r>
          </w:p>
          <w:p w:rsidR="007C2A09" w:rsidRDefault="007C2A09">
            <w:pPr>
              <w:pStyle w:val="Default"/>
              <w:rPr>
                <w:rFonts w:ascii="Arial" w:eastAsia="Arial" w:hAnsi="Arial" w:cs="Arial"/>
                <w:color w:val="auto"/>
                <w:sz w:val="20"/>
                <w:szCs w:val="20"/>
              </w:rPr>
            </w:pPr>
          </w:p>
        </w:tc>
        <w:tc>
          <w:tcPr>
            <w:tcW w:w="7375" w:type="dxa"/>
          </w:tcPr>
          <w:p w:rsidR="007C2A09" w:rsidRDefault="00716171">
            <w:pPr>
              <w:rPr>
                <w:rFonts w:ascii="Arial" w:eastAsia="Arial" w:hAnsi="Arial" w:cs="Arial"/>
              </w:rPr>
            </w:pPr>
            <w:r>
              <w:rPr>
                <w:rFonts w:ascii="Arial" w:eastAsia="Arial" w:hAnsi="Arial" w:cs="Arial"/>
                <w:lang w:eastAsia="en-US"/>
              </w:rPr>
              <w:t xml:space="preserve">Personal responsibility </w:t>
            </w:r>
          </w:p>
          <w:p w:rsidR="007C2A09" w:rsidRDefault="00716171">
            <w:pPr>
              <w:rPr>
                <w:rFonts w:ascii="Arial" w:eastAsia="Arial" w:hAnsi="Arial" w:cs="Arial"/>
              </w:rPr>
            </w:pPr>
            <w:r>
              <w:rPr>
                <w:rFonts w:ascii="Arial" w:eastAsia="Arial" w:hAnsi="Arial" w:cs="Arial"/>
                <w:lang w:eastAsia="en-US"/>
              </w:rPr>
              <w:t>Here you will be required to show you have taken responsibility for each of the complai</w:t>
            </w:r>
            <w:r>
              <w:rPr>
                <w:rFonts w:ascii="Arial" w:eastAsia="Arial" w:hAnsi="Arial" w:cs="Arial"/>
                <w:lang w:eastAsia="en-US"/>
              </w:rPr>
              <w:t xml:space="preserve">nts you have dealt with. You are not required to have resolved them all yourself but to take responsibility by e.g. escalating the issue, keeping the customer informed of progress and following up with the customer to ensure the </w:t>
            </w:r>
            <w:r>
              <w:rPr>
                <w:rFonts w:ascii="Arial" w:eastAsia="Arial" w:hAnsi="Arial" w:cs="Arial"/>
                <w:lang w:eastAsia="en-US"/>
              </w:rPr>
              <w:lastRenderedPageBreak/>
              <w:t>complaint has been resolved</w:t>
            </w:r>
            <w:r>
              <w:rPr>
                <w:rFonts w:ascii="Arial" w:eastAsia="Arial" w:hAnsi="Arial" w:cs="Arial"/>
                <w:lang w:eastAsia="en-US"/>
              </w:rPr>
              <w:t>. Resolved does not mean the customers’ complaints have all been upheld but that the customer has been satisfied the complaints process has been carried out.</w:t>
            </w:r>
          </w:p>
          <w:p w:rsidR="007C2A09" w:rsidRDefault="007C2A09">
            <w:pPr>
              <w:pStyle w:val="ListParagraph1"/>
              <w:rPr>
                <w:rFonts w:ascii="Arial" w:eastAsia="Calibri" w:hAnsi="Arial" w:cs="Arial"/>
              </w:rPr>
            </w:pPr>
          </w:p>
        </w:tc>
      </w:tr>
      <w:tr w:rsidR="007C2A09">
        <w:trPr>
          <w:trHeight w:val="569"/>
        </w:trPr>
        <w:tc>
          <w:tcPr>
            <w:tcW w:w="2245" w:type="dxa"/>
            <w:vMerge/>
          </w:tcPr>
          <w:p w:rsidR="007C2A09" w:rsidRDefault="007C2A09">
            <w:pPr>
              <w:pStyle w:val="Default"/>
              <w:numPr>
                <w:ilvl w:val="0"/>
                <w:numId w:val="8"/>
              </w:numPr>
              <w:rPr>
                <w:rFonts w:ascii="Arial" w:eastAsia="Arial" w:hAnsi="Arial" w:cs="Arial"/>
                <w:color w:val="auto"/>
                <w:sz w:val="20"/>
                <w:szCs w:val="20"/>
              </w:rPr>
            </w:pPr>
          </w:p>
        </w:tc>
        <w:tc>
          <w:tcPr>
            <w:tcW w:w="3330" w:type="dxa"/>
          </w:tcPr>
          <w:p w:rsidR="007C2A09" w:rsidRDefault="00716171">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2.3 Communicate in a way that recognises customers’ problems and understands their points of view </w:t>
            </w:r>
          </w:p>
          <w:p w:rsidR="007C2A09" w:rsidRDefault="007C2A09">
            <w:pPr>
              <w:pStyle w:val="Default"/>
              <w:rPr>
                <w:rFonts w:ascii="Arial" w:eastAsia="Arial" w:hAnsi="Arial" w:cs="Arial"/>
                <w:color w:val="auto"/>
                <w:sz w:val="20"/>
                <w:szCs w:val="20"/>
              </w:rPr>
            </w:pPr>
          </w:p>
        </w:tc>
        <w:tc>
          <w:tcPr>
            <w:tcW w:w="7375" w:type="dxa"/>
          </w:tcPr>
          <w:p w:rsidR="007C2A09" w:rsidRDefault="007C2A09">
            <w:pPr>
              <w:pStyle w:val="ListParagraph1"/>
              <w:rPr>
                <w:rFonts w:ascii="Arial" w:eastAsia="Calibri" w:hAnsi="Arial" w:cs="Arial"/>
              </w:rPr>
            </w:pPr>
          </w:p>
        </w:tc>
      </w:tr>
      <w:tr w:rsidR="007C2A09">
        <w:trPr>
          <w:trHeight w:val="569"/>
        </w:trPr>
        <w:tc>
          <w:tcPr>
            <w:tcW w:w="2245" w:type="dxa"/>
            <w:vMerge/>
          </w:tcPr>
          <w:p w:rsidR="007C2A09" w:rsidRDefault="007C2A09">
            <w:pPr>
              <w:pStyle w:val="Default"/>
              <w:ind w:left="360"/>
              <w:rPr>
                <w:rFonts w:ascii="Arial" w:eastAsia="Arial" w:hAnsi="Arial" w:cs="Arial"/>
                <w:color w:val="auto"/>
                <w:sz w:val="20"/>
                <w:szCs w:val="20"/>
              </w:rPr>
            </w:pPr>
          </w:p>
        </w:tc>
        <w:tc>
          <w:tcPr>
            <w:tcW w:w="3330" w:type="dxa"/>
          </w:tcPr>
          <w:p w:rsidR="007C2A09" w:rsidRDefault="00716171">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2.4 Explain the advantages and limitations of different complaint response options to customers </w:t>
            </w:r>
          </w:p>
          <w:p w:rsidR="007C2A09" w:rsidRDefault="007C2A09">
            <w:pPr>
              <w:pStyle w:val="Default"/>
              <w:rPr>
                <w:rFonts w:ascii="Arial" w:eastAsia="Arial" w:hAnsi="Arial" w:cs="Arial"/>
                <w:color w:val="auto"/>
                <w:sz w:val="20"/>
                <w:szCs w:val="20"/>
              </w:rPr>
            </w:pPr>
          </w:p>
        </w:tc>
        <w:tc>
          <w:tcPr>
            <w:tcW w:w="7375" w:type="dxa"/>
          </w:tcPr>
          <w:p w:rsidR="007C2A09" w:rsidRDefault="007C2A09">
            <w:pPr>
              <w:pStyle w:val="ListParagraph1"/>
              <w:rPr>
                <w:rFonts w:ascii="Arial" w:eastAsia="Calibri" w:hAnsi="Arial" w:cs="Arial"/>
              </w:rPr>
            </w:pPr>
          </w:p>
        </w:tc>
      </w:tr>
      <w:tr w:rsidR="007C2A09">
        <w:trPr>
          <w:trHeight w:val="569"/>
        </w:trPr>
        <w:tc>
          <w:tcPr>
            <w:tcW w:w="2245" w:type="dxa"/>
            <w:vMerge/>
          </w:tcPr>
          <w:p w:rsidR="007C2A09" w:rsidRDefault="007C2A09">
            <w:pPr>
              <w:pStyle w:val="Default"/>
              <w:ind w:left="360"/>
              <w:rPr>
                <w:rFonts w:ascii="Arial" w:eastAsia="Arial" w:hAnsi="Arial" w:cs="Arial"/>
                <w:color w:val="auto"/>
                <w:sz w:val="20"/>
                <w:szCs w:val="20"/>
              </w:rPr>
            </w:pPr>
          </w:p>
        </w:tc>
        <w:tc>
          <w:tcPr>
            <w:tcW w:w="3330" w:type="dxa"/>
          </w:tcPr>
          <w:p w:rsidR="007C2A09" w:rsidRDefault="00716171">
            <w:pPr>
              <w:pStyle w:val="Default"/>
              <w:rPr>
                <w:rFonts w:ascii="Arial" w:eastAsia="Arial" w:hAnsi="Arial" w:cs="Arial"/>
                <w:color w:val="auto"/>
                <w:sz w:val="20"/>
                <w:szCs w:val="20"/>
              </w:rPr>
            </w:pPr>
            <w:r>
              <w:rPr>
                <w:rFonts w:ascii="Arial" w:eastAsia="Arial" w:hAnsi="Arial" w:cs="Arial"/>
                <w:color w:val="auto"/>
                <w:sz w:val="20"/>
                <w:szCs w:val="20"/>
                <w:lang w:eastAsia="en-US"/>
              </w:rPr>
              <w:t>2.5 Explain the advantages and limitations of differ</w:t>
            </w:r>
            <w:r>
              <w:rPr>
                <w:rFonts w:ascii="Arial" w:eastAsia="Arial" w:hAnsi="Arial" w:cs="Arial"/>
                <w:color w:val="auto"/>
                <w:sz w:val="20"/>
                <w:szCs w:val="20"/>
                <w:lang w:eastAsia="en-US"/>
              </w:rPr>
              <w:t xml:space="preserve">ent complaint response options to the organisation </w:t>
            </w:r>
          </w:p>
          <w:p w:rsidR="007C2A09" w:rsidRDefault="007C2A09">
            <w:pPr>
              <w:pStyle w:val="Default"/>
              <w:rPr>
                <w:rFonts w:ascii="Arial" w:eastAsia="Arial" w:hAnsi="Arial" w:cs="Arial"/>
                <w:color w:val="auto"/>
                <w:sz w:val="20"/>
                <w:szCs w:val="20"/>
              </w:rPr>
            </w:pPr>
          </w:p>
        </w:tc>
        <w:tc>
          <w:tcPr>
            <w:tcW w:w="7375" w:type="dxa"/>
          </w:tcPr>
          <w:p w:rsidR="007C2A09" w:rsidRDefault="007C2A09">
            <w:pPr>
              <w:pStyle w:val="ListParagraph1"/>
              <w:rPr>
                <w:rFonts w:ascii="Arial" w:eastAsia="Calibri" w:hAnsi="Arial" w:cs="Arial"/>
              </w:rPr>
            </w:pPr>
          </w:p>
        </w:tc>
      </w:tr>
      <w:tr w:rsidR="007C2A09">
        <w:trPr>
          <w:trHeight w:val="569"/>
        </w:trPr>
        <w:tc>
          <w:tcPr>
            <w:tcW w:w="2245" w:type="dxa"/>
            <w:vMerge/>
          </w:tcPr>
          <w:p w:rsidR="007C2A09" w:rsidRDefault="007C2A09">
            <w:pPr>
              <w:pStyle w:val="Default"/>
              <w:ind w:left="360"/>
              <w:rPr>
                <w:rFonts w:ascii="Arial" w:eastAsia="Arial" w:hAnsi="Arial" w:cs="Arial"/>
                <w:color w:val="auto"/>
                <w:sz w:val="20"/>
                <w:szCs w:val="20"/>
              </w:rPr>
            </w:pPr>
          </w:p>
        </w:tc>
        <w:tc>
          <w:tcPr>
            <w:tcW w:w="3330" w:type="dxa"/>
          </w:tcPr>
          <w:p w:rsidR="007C2A09" w:rsidRDefault="00716171">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2.6 Keep customers informed of progress </w:t>
            </w:r>
          </w:p>
          <w:p w:rsidR="007C2A09" w:rsidRDefault="007C2A09">
            <w:pPr>
              <w:pStyle w:val="Default"/>
              <w:rPr>
                <w:rFonts w:ascii="Arial" w:eastAsia="Arial" w:hAnsi="Arial" w:cs="Arial"/>
                <w:color w:val="auto"/>
                <w:sz w:val="20"/>
                <w:szCs w:val="20"/>
              </w:rPr>
            </w:pPr>
          </w:p>
        </w:tc>
        <w:tc>
          <w:tcPr>
            <w:tcW w:w="7375" w:type="dxa"/>
          </w:tcPr>
          <w:p w:rsidR="007C2A09" w:rsidRDefault="007C2A09">
            <w:pPr>
              <w:pStyle w:val="ListParagraph1"/>
              <w:rPr>
                <w:rFonts w:ascii="Arial" w:eastAsia="Calibri" w:hAnsi="Arial" w:cs="Arial"/>
              </w:rPr>
            </w:pPr>
          </w:p>
        </w:tc>
      </w:tr>
      <w:tr w:rsidR="007C2A09">
        <w:trPr>
          <w:trHeight w:val="569"/>
        </w:trPr>
        <w:tc>
          <w:tcPr>
            <w:tcW w:w="2245" w:type="dxa"/>
            <w:vMerge/>
          </w:tcPr>
          <w:p w:rsidR="007C2A09" w:rsidRDefault="007C2A09">
            <w:pPr>
              <w:pStyle w:val="Default"/>
              <w:rPr>
                <w:rFonts w:ascii="Arial" w:eastAsia="Arial" w:hAnsi="Arial" w:cs="Arial"/>
                <w:color w:val="auto"/>
                <w:sz w:val="20"/>
                <w:szCs w:val="20"/>
              </w:rPr>
            </w:pPr>
          </w:p>
        </w:tc>
        <w:tc>
          <w:tcPr>
            <w:tcW w:w="3330" w:type="dxa"/>
          </w:tcPr>
          <w:p w:rsidR="007C2A09" w:rsidRDefault="00716171">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2.7 Agree solutions with customers that address the complaint and which are within the limits of their own authority </w:t>
            </w:r>
          </w:p>
          <w:p w:rsidR="007C2A09" w:rsidRDefault="007C2A09">
            <w:pPr>
              <w:pStyle w:val="Default"/>
              <w:rPr>
                <w:rFonts w:ascii="Arial" w:eastAsia="Arial" w:hAnsi="Arial" w:cs="Arial"/>
                <w:color w:val="auto"/>
                <w:sz w:val="20"/>
                <w:szCs w:val="20"/>
              </w:rPr>
            </w:pPr>
          </w:p>
        </w:tc>
        <w:tc>
          <w:tcPr>
            <w:tcW w:w="7375" w:type="dxa"/>
          </w:tcPr>
          <w:p w:rsidR="007C2A09" w:rsidRDefault="007C2A09">
            <w:pPr>
              <w:pStyle w:val="ListParagraph1"/>
              <w:rPr>
                <w:rFonts w:ascii="Arial" w:eastAsia="Calibri" w:hAnsi="Arial" w:cs="Arial"/>
              </w:rPr>
            </w:pPr>
          </w:p>
        </w:tc>
      </w:tr>
      <w:tr w:rsidR="007C2A09">
        <w:trPr>
          <w:trHeight w:val="569"/>
        </w:trPr>
        <w:tc>
          <w:tcPr>
            <w:tcW w:w="2245" w:type="dxa"/>
            <w:vMerge/>
          </w:tcPr>
          <w:p w:rsidR="007C2A09" w:rsidRDefault="007C2A09">
            <w:pPr>
              <w:pStyle w:val="Default"/>
              <w:rPr>
                <w:rFonts w:ascii="Arial" w:eastAsia="Arial" w:hAnsi="Arial" w:cs="Arial"/>
                <w:color w:val="auto"/>
                <w:sz w:val="20"/>
                <w:szCs w:val="20"/>
              </w:rPr>
            </w:pPr>
          </w:p>
        </w:tc>
        <w:tc>
          <w:tcPr>
            <w:tcW w:w="3330" w:type="dxa"/>
          </w:tcPr>
          <w:p w:rsidR="007C2A09" w:rsidRDefault="00716171">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2.8 Record the outcome of the handling of complaints for future reference </w:t>
            </w:r>
          </w:p>
          <w:p w:rsidR="007C2A09" w:rsidRDefault="007C2A09">
            <w:pPr>
              <w:pStyle w:val="Default"/>
              <w:rPr>
                <w:rFonts w:ascii="Arial" w:eastAsia="Arial" w:hAnsi="Arial" w:cs="Arial"/>
                <w:color w:val="auto"/>
                <w:sz w:val="20"/>
                <w:szCs w:val="20"/>
              </w:rPr>
            </w:pPr>
          </w:p>
        </w:tc>
        <w:tc>
          <w:tcPr>
            <w:tcW w:w="7375" w:type="dxa"/>
          </w:tcPr>
          <w:p w:rsidR="007C2A09" w:rsidRDefault="007C2A09">
            <w:pPr>
              <w:pStyle w:val="ListParagraph1"/>
              <w:rPr>
                <w:rFonts w:ascii="Arial" w:eastAsia="Calibri" w:hAnsi="Arial" w:cs="Arial"/>
              </w:rPr>
            </w:pPr>
          </w:p>
        </w:tc>
      </w:tr>
      <w:tr w:rsidR="007C2A09">
        <w:trPr>
          <w:trHeight w:val="569"/>
        </w:trPr>
        <w:tc>
          <w:tcPr>
            <w:tcW w:w="2245" w:type="dxa"/>
            <w:vMerge/>
          </w:tcPr>
          <w:p w:rsidR="007C2A09" w:rsidRDefault="007C2A09">
            <w:pPr>
              <w:pStyle w:val="Default"/>
              <w:rPr>
                <w:rFonts w:ascii="Arial" w:eastAsia="Arial" w:hAnsi="Arial" w:cs="Arial"/>
                <w:color w:val="auto"/>
                <w:sz w:val="20"/>
                <w:szCs w:val="20"/>
              </w:rPr>
            </w:pPr>
          </w:p>
        </w:tc>
        <w:tc>
          <w:tcPr>
            <w:tcW w:w="3330" w:type="dxa"/>
          </w:tcPr>
          <w:p w:rsidR="007C2A09" w:rsidRDefault="00716171">
            <w:pPr>
              <w:pStyle w:val="Default"/>
              <w:rPr>
                <w:rFonts w:ascii="Arial" w:eastAsia="Arial" w:hAnsi="Arial" w:cs="Arial"/>
                <w:color w:val="auto"/>
                <w:sz w:val="20"/>
                <w:szCs w:val="20"/>
              </w:rPr>
            </w:pPr>
            <w:r>
              <w:rPr>
                <w:rFonts w:ascii="Arial" w:eastAsia="Arial" w:hAnsi="Arial" w:cs="Arial"/>
                <w:color w:val="auto"/>
                <w:sz w:val="20"/>
                <w:szCs w:val="20"/>
                <w:lang w:eastAsia="en-US"/>
              </w:rPr>
              <w:t xml:space="preserve">2.9 Adhere to organisational policies and procedures, legal and ethical requirements when dealing with customers’ complaints </w:t>
            </w:r>
          </w:p>
          <w:p w:rsidR="007C2A09" w:rsidRDefault="007C2A09">
            <w:pPr>
              <w:pStyle w:val="Default"/>
              <w:rPr>
                <w:rFonts w:ascii="Arial" w:eastAsia="Arial" w:hAnsi="Arial" w:cs="Arial"/>
                <w:color w:val="auto"/>
                <w:sz w:val="20"/>
                <w:szCs w:val="20"/>
              </w:rPr>
            </w:pPr>
          </w:p>
        </w:tc>
        <w:tc>
          <w:tcPr>
            <w:tcW w:w="7375" w:type="dxa"/>
          </w:tcPr>
          <w:p w:rsidR="007C2A09" w:rsidRDefault="00716171">
            <w:pPr>
              <w:rPr>
                <w:rFonts w:ascii="Arial" w:eastAsia="Arial" w:hAnsi="Arial" w:cs="Arial"/>
              </w:rPr>
            </w:pPr>
            <w:r>
              <w:rPr>
                <w:rFonts w:ascii="Arial" w:eastAsia="Arial" w:hAnsi="Arial" w:cs="Arial"/>
                <w:lang w:eastAsia="en-US"/>
              </w:rPr>
              <w:t>Organisational policies and procedures which relat</w:t>
            </w:r>
            <w:r>
              <w:rPr>
                <w:rFonts w:ascii="Arial" w:eastAsia="Arial" w:hAnsi="Arial" w:cs="Arial"/>
                <w:lang w:eastAsia="en-US"/>
              </w:rPr>
              <w:t>e to:</w:t>
            </w:r>
          </w:p>
          <w:p w:rsidR="007C2A09" w:rsidRDefault="00716171">
            <w:pPr>
              <w:pStyle w:val="ListParagraph1"/>
              <w:numPr>
                <w:ilvl w:val="0"/>
                <w:numId w:val="9"/>
              </w:numPr>
              <w:rPr>
                <w:rFonts w:ascii="Arial" w:eastAsia="Arial" w:hAnsi="Arial" w:cs="Arial"/>
              </w:rPr>
            </w:pPr>
            <w:r>
              <w:rPr>
                <w:rFonts w:ascii="Arial" w:eastAsia="Arial" w:hAnsi="Arial" w:cs="Arial"/>
                <w:lang w:eastAsia="en-US"/>
              </w:rPr>
              <w:t>Roles and responsibilities showing limits of authority</w:t>
            </w:r>
          </w:p>
          <w:p w:rsidR="007C2A09" w:rsidRDefault="00716171">
            <w:pPr>
              <w:pStyle w:val="ListParagraph1"/>
              <w:numPr>
                <w:ilvl w:val="0"/>
                <w:numId w:val="9"/>
              </w:numPr>
              <w:rPr>
                <w:rFonts w:ascii="Arial" w:eastAsia="Arial" w:hAnsi="Arial" w:cs="Arial"/>
              </w:rPr>
            </w:pPr>
            <w:r>
              <w:rPr>
                <w:rFonts w:ascii="Arial" w:eastAsia="Arial" w:hAnsi="Arial" w:cs="Arial"/>
                <w:lang w:eastAsia="en-US"/>
              </w:rPr>
              <w:t>Service offer</w:t>
            </w:r>
          </w:p>
          <w:p w:rsidR="007C2A09" w:rsidRDefault="00716171">
            <w:pPr>
              <w:pStyle w:val="ListParagraph1"/>
              <w:numPr>
                <w:ilvl w:val="0"/>
                <w:numId w:val="9"/>
              </w:numPr>
              <w:rPr>
                <w:rFonts w:ascii="Arial" w:eastAsia="Arial" w:hAnsi="Arial" w:cs="Arial"/>
              </w:rPr>
            </w:pPr>
            <w:r>
              <w:rPr>
                <w:rFonts w:ascii="Arial" w:eastAsia="Arial" w:hAnsi="Arial" w:cs="Arial"/>
                <w:lang w:eastAsia="en-US"/>
              </w:rPr>
              <w:t>Handling of customer issues.</w:t>
            </w:r>
          </w:p>
          <w:p w:rsidR="007C2A09" w:rsidRDefault="00716171">
            <w:pPr>
              <w:rPr>
                <w:rFonts w:ascii="Arial" w:eastAsia="Arial" w:hAnsi="Arial" w:cs="Arial"/>
              </w:rPr>
            </w:pPr>
            <w:r>
              <w:rPr>
                <w:rFonts w:ascii="Arial" w:eastAsia="Arial" w:hAnsi="Arial" w:cs="Arial"/>
                <w:lang w:eastAsia="en-US"/>
              </w:rPr>
              <w:t>Legal requirements:</w:t>
            </w:r>
          </w:p>
          <w:p w:rsidR="007C2A09" w:rsidRDefault="00716171">
            <w:pPr>
              <w:pStyle w:val="ListParagraph1"/>
              <w:numPr>
                <w:ilvl w:val="0"/>
                <w:numId w:val="10"/>
              </w:numPr>
              <w:rPr>
                <w:rFonts w:ascii="Arial" w:eastAsia="Arial" w:hAnsi="Arial" w:cs="Arial"/>
              </w:rPr>
            </w:pPr>
            <w:r>
              <w:rPr>
                <w:rFonts w:ascii="Arial" w:eastAsia="Arial" w:hAnsi="Arial" w:cs="Arial"/>
                <w:lang w:eastAsia="en-US"/>
              </w:rPr>
              <w:t>Sale of Goods Act (Sale and Supply of Goods to Consumers Regulations)</w:t>
            </w:r>
          </w:p>
          <w:p w:rsidR="007C2A09" w:rsidRDefault="00716171">
            <w:pPr>
              <w:pStyle w:val="ListParagraph1"/>
              <w:numPr>
                <w:ilvl w:val="0"/>
                <w:numId w:val="10"/>
              </w:numPr>
              <w:rPr>
                <w:rFonts w:ascii="Arial" w:eastAsia="Arial" w:hAnsi="Arial" w:cs="Arial"/>
              </w:rPr>
            </w:pPr>
            <w:r>
              <w:rPr>
                <w:rFonts w:ascii="Arial" w:eastAsia="Arial" w:hAnsi="Arial" w:cs="Arial"/>
                <w:lang w:eastAsia="en-US"/>
              </w:rPr>
              <w:t>Trade Descriptions Act</w:t>
            </w:r>
          </w:p>
          <w:p w:rsidR="007C2A09" w:rsidRDefault="00716171">
            <w:pPr>
              <w:pStyle w:val="ListParagraph1"/>
              <w:numPr>
                <w:ilvl w:val="0"/>
                <w:numId w:val="10"/>
              </w:numPr>
              <w:rPr>
                <w:rFonts w:ascii="Arial" w:eastAsia="Arial" w:hAnsi="Arial" w:cs="Arial"/>
              </w:rPr>
            </w:pPr>
            <w:r>
              <w:rPr>
                <w:rFonts w:ascii="Arial" w:eastAsia="Arial" w:hAnsi="Arial" w:cs="Arial"/>
                <w:lang w:eastAsia="en-US"/>
              </w:rPr>
              <w:t>Data Protection Act.</w:t>
            </w:r>
          </w:p>
          <w:p w:rsidR="007C2A09" w:rsidRDefault="00716171">
            <w:pPr>
              <w:rPr>
                <w:rFonts w:ascii="Arial" w:eastAsia="Arial" w:hAnsi="Arial" w:cs="Arial"/>
              </w:rPr>
            </w:pPr>
            <w:r>
              <w:rPr>
                <w:rFonts w:ascii="Arial" w:eastAsia="Arial" w:hAnsi="Arial" w:cs="Arial"/>
                <w:lang w:eastAsia="en-US"/>
              </w:rPr>
              <w:lastRenderedPageBreak/>
              <w:t>Ethical requirements</w:t>
            </w:r>
          </w:p>
          <w:p w:rsidR="007C2A09" w:rsidRDefault="00716171">
            <w:pPr>
              <w:pStyle w:val="ListParagraph1"/>
              <w:numPr>
                <w:ilvl w:val="0"/>
                <w:numId w:val="11"/>
              </w:numPr>
              <w:rPr>
                <w:rFonts w:ascii="Arial" w:eastAsia="Arial" w:hAnsi="Arial" w:cs="Arial"/>
              </w:rPr>
            </w:pPr>
            <w:r>
              <w:rPr>
                <w:rFonts w:ascii="Arial" w:eastAsia="Arial" w:hAnsi="Arial" w:cs="Arial"/>
                <w:lang w:eastAsia="en-US"/>
              </w:rPr>
              <w:t>Organisational principles</w:t>
            </w:r>
          </w:p>
          <w:p w:rsidR="007C2A09" w:rsidRDefault="00716171">
            <w:pPr>
              <w:pStyle w:val="ListParagraph1"/>
              <w:numPr>
                <w:ilvl w:val="0"/>
                <w:numId w:val="10"/>
              </w:numPr>
              <w:rPr>
                <w:rFonts w:ascii="Arial" w:eastAsia="Arial" w:hAnsi="Arial" w:cs="Arial"/>
              </w:rPr>
            </w:pPr>
            <w:r>
              <w:rPr>
                <w:rFonts w:ascii="Arial" w:eastAsia="Arial" w:hAnsi="Arial" w:cs="Arial"/>
                <w:lang w:eastAsia="en-US"/>
              </w:rPr>
              <w:t>Values</w:t>
            </w:r>
          </w:p>
          <w:p w:rsidR="007C2A09" w:rsidRDefault="00716171">
            <w:pPr>
              <w:pStyle w:val="ListParagraph1"/>
              <w:numPr>
                <w:ilvl w:val="0"/>
                <w:numId w:val="10"/>
              </w:numPr>
              <w:rPr>
                <w:rFonts w:ascii="Arial" w:eastAsia="Arial" w:hAnsi="Arial" w:cs="Arial"/>
              </w:rPr>
            </w:pPr>
            <w:r>
              <w:rPr>
                <w:rFonts w:ascii="Arial" w:eastAsia="Arial" w:hAnsi="Arial" w:cs="Arial"/>
                <w:lang w:eastAsia="en-US"/>
              </w:rPr>
              <w:t xml:space="preserve">Fairness. </w:t>
            </w:r>
          </w:p>
          <w:p w:rsidR="007C2A09" w:rsidRDefault="007C2A09">
            <w:pPr>
              <w:pStyle w:val="ListParagraph1"/>
              <w:rPr>
                <w:rFonts w:ascii="Arial" w:eastAsia="Calibri" w:hAnsi="Arial" w:cs="Arial"/>
              </w:rPr>
            </w:pPr>
          </w:p>
        </w:tc>
      </w:tr>
      <w:tr w:rsidR="007C2A09">
        <w:trPr>
          <w:trHeight w:val="569"/>
        </w:trPr>
        <w:tc>
          <w:tcPr>
            <w:tcW w:w="12950" w:type="dxa"/>
            <w:gridSpan w:val="3"/>
          </w:tcPr>
          <w:p w:rsidR="007C2A09" w:rsidRDefault="00716171">
            <w:pPr>
              <w:rPr>
                <w:rFonts w:ascii="Arial" w:eastAsia="Arial" w:hAnsi="Arial" w:cs="Arial"/>
              </w:rPr>
            </w:pPr>
            <w:r>
              <w:rPr>
                <w:rFonts w:ascii="Arial" w:eastAsia="Arial" w:hAnsi="Arial" w:cs="Arial"/>
                <w:lang w:eastAsia="en-US"/>
              </w:rPr>
              <w:lastRenderedPageBreak/>
              <w:t>Evidence may be supplied by:</w:t>
            </w:r>
          </w:p>
          <w:p w:rsidR="007C2A09" w:rsidRDefault="00716171">
            <w:pPr>
              <w:pStyle w:val="Default"/>
              <w:numPr>
                <w:ilvl w:val="0"/>
                <w:numId w:val="12"/>
              </w:numPr>
              <w:rPr>
                <w:rFonts w:ascii="Arial" w:eastAsia="Arial" w:hAnsi="Arial" w:cs="Arial"/>
                <w:color w:val="auto"/>
                <w:sz w:val="20"/>
                <w:szCs w:val="20"/>
              </w:rPr>
            </w:pPr>
            <w:r>
              <w:rPr>
                <w:rFonts w:ascii="Arial" w:eastAsia="Arial" w:hAnsi="Arial" w:cs="Arial"/>
                <w:color w:val="auto"/>
                <w:sz w:val="20"/>
                <w:szCs w:val="20"/>
                <w:lang w:eastAsia="en-US"/>
              </w:rPr>
              <w:t>Observation</w:t>
            </w:r>
          </w:p>
          <w:p w:rsidR="007C2A09" w:rsidRDefault="00716171">
            <w:pPr>
              <w:pStyle w:val="Default"/>
              <w:numPr>
                <w:ilvl w:val="0"/>
                <w:numId w:val="12"/>
              </w:numPr>
              <w:rPr>
                <w:rFonts w:ascii="Arial" w:eastAsia="Arial" w:hAnsi="Arial" w:cs="Arial"/>
                <w:color w:val="auto"/>
                <w:sz w:val="20"/>
                <w:szCs w:val="20"/>
              </w:rPr>
            </w:pPr>
            <w:r>
              <w:rPr>
                <w:rFonts w:ascii="Arial" w:eastAsia="Arial" w:hAnsi="Arial" w:cs="Arial"/>
                <w:color w:val="auto"/>
                <w:sz w:val="20"/>
                <w:szCs w:val="20"/>
                <w:lang w:eastAsia="en-US"/>
              </w:rPr>
              <w:t>Witness testimony</w:t>
            </w:r>
          </w:p>
          <w:p w:rsidR="007C2A09" w:rsidRDefault="00716171">
            <w:pPr>
              <w:pStyle w:val="Default"/>
              <w:numPr>
                <w:ilvl w:val="0"/>
                <w:numId w:val="12"/>
              </w:numPr>
              <w:rPr>
                <w:rFonts w:ascii="Arial" w:eastAsia="Arial" w:hAnsi="Arial" w:cs="Arial"/>
                <w:color w:val="auto"/>
                <w:sz w:val="20"/>
                <w:szCs w:val="20"/>
              </w:rPr>
            </w:pPr>
            <w:r>
              <w:rPr>
                <w:rFonts w:ascii="Arial" w:eastAsia="Arial" w:hAnsi="Arial" w:cs="Arial"/>
                <w:color w:val="auto"/>
                <w:sz w:val="20"/>
                <w:szCs w:val="20"/>
                <w:lang w:eastAsia="en-US"/>
              </w:rPr>
              <w:t>Customer records*</w:t>
            </w:r>
          </w:p>
          <w:p w:rsidR="007C2A09" w:rsidRDefault="00716171">
            <w:pPr>
              <w:pStyle w:val="Default"/>
              <w:numPr>
                <w:ilvl w:val="0"/>
                <w:numId w:val="12"/>
              </w:numPr>
              <w:rPr>
                <w:rFonts w:ascii="Arial" w:eastAsia="Arial" w:hAnsi="Arial" w:cs="Arial"/>
                <w:color w:val="auto"/>
                <w:sz w:val="20"/>
                <w:szCs w:val="20"/>
              </w:rPr>
            </w:pPr>
            <w:r>
              <w:rPr>
                <w:rFonts w:ascii="Arial" w:eastAsia="Arial" w:hAnsi="Arial" w:cs="Arial"/>
                <w:color w:val="auto"/>
                <w:sz w:val="20"/>
                <w:szCs w:val="20"/>
                <w:lang w:eastAsia="en-US"/>
              </w:rPr>
              <w:t>Professional discussion</w:t>
            </w:r>
          </w:p>
          <w:p w:rsidR="007C2A09" w:rsidRDefault="00716171">
            <w:pPr>
              <w:pStyle w:val="Default"/>
              <w:numPr>
                <w:ilvl w:val="0"/>
                <w:numId w:val="12"/>
              </w:numPr>
              <w:rPr>
                <w:rFonts w:ascii="Arial" w:eastAsia="Arial" w:hAnsi="Arial" w:cs="Arial"/>
                <w:color w:val="auto"/>
                <w:sz w:val="20"/>
                <w:szCs w:val="20"/>
              </w:rPr>
            </w:pPr>
            <w:r>
              <w:rPr>
                <w:rFonts w:ascii="Arial" w:eastAsia="Arial" w:hAnsi="Arial" w:cs="Arial"/>
                <w:color w:val="auto"/>
                <w:sz w:val="20"/>
                <w:szCs w:val="20"/>
                <w:lang w:eastAsia="en-US"/>
              </w:rPr>
              <w:t>Questioning</w:t>
            </w:r>
          </w:p>
          <w:p w:rsidR="007C2A09" w:rsidRDefault="00716171">
            <w:pPr>
              <w:pStyle w:val="Default"/>
              <w:numPr>
                <w:ilvl w:val="0"/>
                <w:numId w:val="12"/>
              </w:numPr>
              <w:rPr>
                <w:rFonts w:ascii="Arial" w:eastAsia="Arial" w:hAnsi="Arial" w:cs="Arial"/>
                <w:color w:val="auto"/>
                <w:sz w:val="20"/>
                <w:szCs w:val="20"/>
              </w:rPr>
            </w:pPr>
            <w:r>
              <w:rPr>
                <w:rFonts w:ascii="Arial" w:eastAsia="Arial" w:hAnsi="Arial" w:cs="Arial"/>
                <w:color w:val="auto"/>
                <w:sz w:val="20"/>
                <w:szCs w:val="20"/>
                <w:lang w:eastAsia="en-US"/>
              </w:rPr>
              <w:t xml:space="preserve">Reflective account </w:t>
            </w:r>
          </w:p>
          <w:p w:rsidR="007C2A09" w:rsidRDefault="00716171">
            <w:pPr>
              <w:pStyle w:val="Default"/>
              <w:numPr>
                <w:ilvl w:val="0"/>
                <w:numId w:val="12"/>
              </w:numPr>
              <w:rPr>
                <w:rFonts w:ascii="Arial" w:eastAsia="Arial" w:hAnsi="Arial" w:cs="Arial"/>
                <w:color w:val="auto"/>
                <w:sz w:val="20"/>
                <w:szCs w:val="20"/>
              </w:rPr>
            </w:pPr>
            <w:r>
              <w:rPr>
                <w:rFonts w:ascii="Arial" w:eastAsia="Arial" w:hAnsi="Arial" w:cs="Arial"/>
                <w:color w:val="auto"/>
                <w:sz w:val="20"/>
                <w:szCs w:val="20"/>
                <w:lang w:eastAsia="en-US"/>
              </w:rPr>
              <w:t>Organisational policies and procedures*</w:t>
            </w:r>
          </w:p>
          <w:p w:rsidR="007C2A09" w:rsidRDefault="00716171">
            <w:pPr>
              <w:pStyle w:val="Default"/>
              <w:numPr>
                <w:ilvl w:val="0"/>
                <w:numId w:val="12"/>
              </w:numPr>
              <w:rPr>
                <w:rFonts w:ascii="Arial" w:eastAsia="Arial" w:hAnsi="Arial" w:cs="Arial"/>
                <w:color w:val="auto"/>
                <w:sz w:val="20"/>
                <w:szCs w:val="20"/>
              </w:rPr>
            </w:pPr>
            <w:r>
              <w:rPr>
                <w:rFonts w:ascii="Arial" w:eastAsia="Arial" w:hAnsi="Arial" w:cs="Arial"/>
                <w:color w:val="auto"/>
                <w:sz w:val="20"/>
                <w:szCs w:val="20"/>
                <w:lang w:eastAsia="en-US"/>
              </w:rPr>
              <w:t>Knowledge</w:t>
            </w:r>
            <w:r>
              <w:rPr>
                <w:rFonts w:ascii="Arial" w:eastAsia="Arial" w:hAnsi="Arial" w:cs="Arial"/>
                <w:color w:val="auto"/>
                <w:sz w:val="20"/>
                <w:szCs w:val="20"/>
                <w:lang w:eastAsia="en-US"/>
              </w:rPr>
              <w:t xml:space="preserve"> base content* </w:t>
            </w:r>
          </w:p>
          <w:p w:rsidR="007C2A09" w:rsidRDefault="00716171">
            <w:pPr>
              <w:pStyle w:val="Default"/>
              <w:numPr>
                <w:ilvl w:val="0"/>
                <w:numId w:val="12"/>
              </w:numPr>
              <w:rPr>
                <w:rFonts w:ascii="Arial" w:eastAsia="Arial" w:hAnsi="Arial" w:cs="Arial"/>
                <w:color w:val="auto"/>
                <w:sz w:val="20"/>
                <w:szCs w:val="20"/>
              </w:rPr>
            </w:pPr>
            <w:r>
              <w:rPr>
                <w:rFonts w:ascii="Arial" w:eastAsia="Arial" w:hAnsi="Arial" w:cs="Arial"/>
                <w:color w:val="auto"/>
                <w:sz w:val="20"/>
                <w:szCs w:val="20"/>
                <w:lang w:eastAsia="en-US"/>
              </w:rPr>
              <w:t>Service offer*</w:t>
            </w:r>
          </w:p>
          <w:p w:rsidR="007C2A09" w:rsidRDefault="00716171">
            <w:pPr>
              <w:pStyle w:val="ListParagraph1"/>
              <w:numPr>
                <w:ilvl w:val="0"/>
                <w:numId w:val="12"/>
              </w:numPr>
              <w:rPr>
                <w:rFonts w:ascii="Arial" w:eastAsia="Arial" w:hAnsi="Arial" w:cs="Arial"/>
              </w:rPr>
            </w:pPr>
            <w:r>
              <w:rPr>
                <w:rFonts w:ascii="Arial" w:eastAsia="Arial" w:hAnsi="Arial" w:cs="Arial"/>
                <w:lang w:eastAsia="en-US"/>
              </w:rPr>
              <w:t>Refund policy*</w:t>
            </w:r>
          </w:p>
        </w:tc>
      </w:tr>
    </w:tbl>
    <w:p w:rsidR="007C2A09" w:rsidRDefault="007C2A09">
      <w:pPr>
        <w:rPr>
          <w:rFonts w:ascii="Arial" w:eastAsia="Arial" w:hAnsi="Arial" w:cs="Arial"/>
        </w:rPr>
      </w:pPr>
    </w:p>
    <w:p w:rsidR="007C2A09" w:rsidRDefault="00716171">
      <w:pPr>
        <w:rPr>
          <w:rFonts w:ascii="Arial" w:eastAsia="Arial" w:hAnsi="Arial" w:cs="Arial"/>
        </w:rPr>
      </w:pPr>
      <w:r>
        <w:rPr>
          <w:rFonts w:ascii="Arial" w:eastAsia="Arial" w:hAnsi="Arial" w:cs="Arial"/>
          <w:lang w:eastAsia="en-US"/>
        </w:rPr>
        <w:t xml:space="preserve"> *Internal/organisational documentation need not be held in the candidate’s portfolio but held in the workplace with reference made to where it can be found and its relevance to the criteria.  </w:t>
      </w:r>
    </w:p>
    <w:sectPr w:rsidR="007C2A09">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171" w:rsidRDefault="00716171">
      <w:r>
        <w:separator/>
      </w:r>
    </w:p>
  </w:endnote>
  <w:endnote w:type="continuationSeparator" w:id="0">
    <w:p w:rsidR="00716171" w:rsidRDefault="0071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689621"/>
      <w:docPartList>
        <w:docPartGallery w:val="AutoText"/>
      </w:docPartList>
    </w:sdtPr>
    <w:sdtEndPr>
      <w:rPr>
        <w:noProof/>
      </w:rPr>
    </w:sdtEndPr>
    <w:sdtContent>
      <w:p w:rsidR="007C2A09" w:rsidRDefault="00716171">
        <w:pPr>
          <w:pStyle w:val="Footer"/>
          <w:jc w:val="center"/>
        </w:pPr>
        <w:r>
          <w:fldChar w:fldCharType="begin"/>
        </w:r>
        <w:r>
          <w:instrText>PAGE   \* MERGEFORMAT</w:instrText>
        </w:r>
        <w:r>
          <w:fldChar w:fldCharType="separate"/>
        </w:r>
        <w:r w:rsidR="004776F8">
          <w:rPr>
            <w:noProof/>
          </w:rPr>
          <w:t>1</w:t>
        </w:r>
        <w:r>
          <w:fldChar w:fldCharType="end"/>
        </w:r>
      </w:p>
    </w:sdtContent>
  </w:sdt>
  <w:p w:rsidR="007C2A09" w:rsidRDefault="007C2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171" w:rsidRDefault="00716171">
      <w:r>
        <w:separator/>
      </w:r>
    </w:p>
  </w:footnote>
  <w:footnote w:type="continuationSeparator" w:id="0">
    <w:p w:rsidR="00716171" w:rsidRDefault="00716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7BF"/>
    <w:multiLevelType w:val="multilevel"/>
    <w:tmpl w:val="6638E3B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10471E92"/>
    <w:multiLevelType w:val="hybridMultilevel"/>
    <w:tmpl w:val="1FBA7152"/>
    <w:lvl w:ilvl="0" w:tplc="BA8C31DA">
      <w:start w:val="1"/>
      <w:numFmt w:val="bullet"/>
      <w:lvlText w:val=""/>
      <w:lvlJc w:val="left"/>
      <w:pPr>
        <w:ind w:left="720" w:hanging="360"/>
      </w:pPr>
      <w:rPr>
        <w:rFonts w:ascii="Symbol" w:eastAsia="Symbol" w:hAnsi="Symbol" w:cs="Symbol" w:hint="default"/>
      </w:rPr>
    </w:lvl>
    <w:lvl w:ilvl="1" w:tplc="F37697B4">
      <w:start w:val="1"/>
      <w:numFmt w:val="bullet"/>
      <w:lvlText w:val="o"/>
      <w:lvlJc w:val="left"/>
      <w:pPr>
        <w:ind w:left="1440" w:hanging="360"/>
      </w:pPr>
      <w:rPr>
        <w:rFonts w:ascii="Courier New" w:eastAsia="Courier New" w:hAnsi="Courier New" w:cs="Courier New" w:hint="default"/>
      </w:rPr>
    </w:lvl>
    <w:lvl w:ilvl="2" w:tplc="66C29E72">
      <w:start w:val="1"/>
      <w:numFmt w:val="bullet"/>
      <w:lvlText w:val=""/>
      <w:lvlJc w:val="left"/>
      <w:pPr>
        <w:ind w:left="2160" w:hanging="360"/>
      </w:pPr>
      <w:rPr>
        <w:rFonts w:ascii="Wingdings" w:eastAsia="Wingdings" w:hAnsi="Wingdings" w:cs="Wingdings" w:hint="default"/>
      </w:rPr>
    </w:lvl>
    <w:lvl w:ilvl="3" w:tplc="FD925438">
      <w:start w:val="1"/>
      <w:numFmt w:val="bullet"/>
      <w:lvlText w:val=""/>
      <w:lvlJc w:val="left"/>
      <w:pPr>
        <w:ind w:left="2880" w:hanging="360"/>
      </w:pPr>
      <w:rPr>
        <w:rFonts w:ascii="Symbol" w:eastAsia="Symbol" w:hAnsi="Symbol" w:cs="Symbol" w:hint="default"/>
      </w:rPr>
    </w:lvl>
    <w:lvl w:ilvl="4" w:tplc="6406D104">
      <w:start w:val="1"/>
      <w:numFmt w:val="bullet"/>
      <w:lvlText w:val="o"/>
      <w:lvlJc w:val="left"/>
      <w:pPr>
        <w:ind w:left="3600" w:hanging="360"/>
      </w:pPr>
      <w:rPr>
        <w:rFonts w:ascii="Courier New" w:eastAsia="Courier New" w:hAnsi="Courier New" w:cs="Courier New" w:hint="default"/>
      </w:rPr>
    </w:lvl>
    <w:lvl w:ilvl="5" w:tplc="1A56A682">
      <w:start w:val="1"/>
      <w:numFmt w:val="bullet"/>
      <w:lvlText w:val=""/>
      <w:lvlJc w:val="left"/>
      <w:pPr>
        <w:ind w:left="4320" w:hanging="360"/>
      </w:pPr>
      <w:rPr>
        <w:rFonts w:ascii="Wingdings" w:eastAsia="Wingdings" w:hAnsi="Wingdings" w:cs="Wingdings" w:hint="default"/>
      </w:rPr>
    </w:lvl>
    <w:lvl w:ilvl="6" w:tplc="6B0883CA">
      <w:start w:val="1"/>
      <w:numFmt w:val="bullet"/>
      <w:lvlText w:val=""/>
      <w:lvlJc w:val="left"/>
      <w:pPr>
        <w:ind w:left="5040" w:hanging="360"/>
      </w:pPr>
      <w:rPr>
        <w:rFonts w:ascii="Symbol" w:eastAsia="Symbol" w:hAnsi="Symbol" w:cs="Symbol" w:hint="default"/>
      </w:rPr>
    </w:lvl>
    <w:lvl w:ilvl="7" w:tplc="47EC9608">
      <w:start w:val="1"/>
      <w:numFmt w:val="bullet"/>
      <w:lvlText w:val="o"/>
      <w:lvlJc w:val="left"/>
      <w:pPr>
        <w:ind w:left="5760" w:hanging="360"/>
      </w:pPr>
      <w:rPr>
        <w:rFonts w:ascii="Courier New" w:eastAsia="Courier New" w:hAnsi="Courier New" w:cs="Courier New" w:hint="default"/>
      </w:rPr>
    </w:lvl>
    <w:lvl w:ilvl="8" w:tplc="4BC0662C">
      <w:start w:val="1"/>
      <w:numFmt w:val="bullet"/>
      <w:lvlText w:val=""/>
      <w:lvlJc w:val="left"/>
      <w:pPr>
        <w:ind w:left="6480" w:hanging="360"/>
      </w:pPr>
      <w:rPr>
        <w:rFonts w:ascii="Wingdings" w:eastAsia="Wingdings" w:hAnsi="Wingdings" w:cs="Wingdings" w:hint="default"/>
      </w:rPr>
    </w:lvl>
  </w:abstractNum>
  <w:abstractNum w:abstractNumId="2">
    <w:nsid w:val="1A4B7596"/>
    <w:multiLevelType w:val="hybridMultilevel"/>
    <w:tmpl w:val="83A4B20A"/>
    <w:lvl w:ilvl="0" w:tplc="D1540992">
      <w:start w:val="1"/>
      <w:numFmt w:val="bullet"/>
      <w:lvlText w:val=""/>
      <w:lvlJc w:val="left"/>
      <w:pPr>
        <w:ind w:left="720" w:hanging="360"/>
      </w:pPr>
      <w:rPr>
        <w:rFonts w:ascii="Symbol" w:eastAsia="Symbol" w:hAnsi="Symbol" w:cs="Symbol" w:hint="default"/>
      </w:rPr>
    </w:lvl>
    <w:lvl w:ilvl="1" w:tplc="A6581C36">
      <w:start w:val="1"/>
      <w:numFmt w:val="bullet"/>
      <w:lvlText w:val="o"/>
      <w:lvlJc w:val="left"/>
      <w:pPr>
        <w:ind w:left="1440" w:hanging="360"/>
      </w:pPr>
      <w:rPr>
        <w:rFonts w:ascii="Courier New" w:eastAsia="Courier New" w:hAnsi="Courier New" w:cs="Courier New" w:hint="default"/>
      </w:rPr>
    </w:lvl>
    <w:lvl w:ilvl="2" w:tplc="AAF03B16">
      <w:start w:val="1"/>
      <w:numFmt w:val="bullet"/>
      <w:lvlText w:val=""/>
      <w:lvlJc w:val="left"/>
      <w:pPr>
        <w:ind w:left="2160" w:hanging="360"/>
      </w:pPr>
      <w:rPr>
        <w:rFonts w:ascii="Wingdings" w:eastAsia="Wingdings" w:hAnsi="Wingdings" w:cs="Wingdings" w:hint="default"/>
      </w:rPr>
    </w:lvl>
    <w:lvl w:ilvl="3" w:tplc="2B92D7F4">
      <w:start w:val="1"/>
      <w:numFmt w:val="bullet"/>
      <w:lvlText w:val=""/>
      <w:lvlJc w:val="left"/>
      <w:pPr>
        <w:ind w:left="2880" w:hanging="360"/>
      </w:pPr>
      <w:rPr>
        <w:rFonts w:ascii="Symbol" w:eastAsia="Symbol" w:hAnsi="Symbol" w:cs="Symbol" w:hint="default"/>
      </w:rPr>
    </w:lvl>
    <w:lvl w:ilvl="4" w:tplc="3A22AE72">
      <w:start w:val="1"/>
      <w:numFmt w:val="bullet"/>
      <w:lvlText w:val="o"/>
      <w:lvlJc w:val="left"/>
      <w:pPr>
        <w:ind w:left="3600" w:hanging="360"/>
      </w:pPr>
      <w:rPr>
        <w:rFonts w:ascii="Courier New" w:eastAsia="Courier New" w:hAnsi="Courier New" w:cs="Courier New" w:hint="default"/>
      </w:rPr>
    </w:lvl>
    <w:lvl w:ilvl="5" w:tplc="D3D2AD9E">
      <w:start w:val="1"/>
      <w:numFmt w:val="bullet"/>
      <w:lvlText w:val=""/>
      <w:lvlJc w:val="left"/>
      <w:pPr>
        <w:ind w:left="4320" w:hanging="360"/>
      </w:pPr>
      <w:rPr>
        <w:rFonts w:ascii="Wingdings" w:eastAsia="Wingdings" w:hAnsi="Wingdings" w:cs="Wingdings" w:hint="default"/>
      </w:rPr>
    </w:lvl>
    <w:lvl w:ilvl="6" w:tplc="00F86C46">
      <w:start w:val="1"/>
      <w:numFmt w:val="bullet"/>
      <w:lvlText w:val=""/>
      <w:lvlJc w:val="left"/>
      <w:pPr>
        <w:ind w:left="5040" w:hanging="360"/>
      </w:pPr>
      <w:rPr>
        <w:rFonts w:ascii="Symbol" w:eastAsia="Symbol" w:hAnsi="Symbol" w:cs="Symbol" w:hint="default"/>
      </w:rPr>
    </w:lvl>
    <w:lvl w:ilvl="7" w:tplc="4364C9AE">
      <w:start w:val="1"/>
      <w:numFmt w:val="bullet"/>
      <w:lvlText w:val="o"/>
      <w:lvlJc w:val="left"/>
      <w:pPr>
        <w:ind w:left="5760" w:hanging="360"/>
      </w:pPr>
      <w:rPr>
        <w:rFonts w:ascii="Courier New" w:eastAsia="Courier New" w:hAnsi="Courier New" w:cs="Courier New" w:hint="default"/>
      </w:rPr>
    </w:lvl>
    <w:lvl w:ilvl="8" w:tplc="C1A6AAE8">
      <w:start w:val="1"/>
      <w:numFmt w:val="bullet"/>
      <w:lvlText w:val=""/>
      <w:lvlJc w:val="left"/>
      <w:pPr>
        <w:ind w:left="6480" w:hanging="360"/>
      </w:pPr>
      <w:rPr>
        <w:rFonts w:ascii="Wingdings" w:eastAsia="Wingdings" w:hAnsi="Wingdings" w:cs="Wingdings" w:hint="default"/>
      </w:rPr>
    </w:lvl>
  </w:abstractNum>
  <w:abstractNum w:abstractNumId="3">
    <w:nsid w:val="1DFE3DDD"/>
    <w:multiLevelType w:val="hybridMultilevel"/>
    <w:tmpl w:val="07A6C5E2"/>
    <w:lvl w:ilvl="0" w:tplc="2856ED58">
      <w:start w:val="1"/>
      <w:numFmt w:val="bullet"/>
      <w:lvlText w:val=""/>
      <w:lvlJc w:val="left"/>
      <w:pPr>
        <w:ind w:left="720" w:hanging="360"/>
      </w:pPr>
      <w:rPr>
        <w:rFonts w:ascii="Symbol" w:eastAsia="Symbol" w:hAnsi="Symbol" w:cs="Symbol" w:hint="default"/>
      </w:rPr>
    </w:lvl>
    <w:lvl w:ilvl="1" w:tplc="013CD9F2">
      <w:start w:val="1"/>
      <w:numFmt w:val="bullet"/>
      <w:lvlText w:val="o"/>
      <w:lvlJc w:val="left"/>
      <w:pPr>
        <w:ind w:left="1440" w:hanging="360"/>
      </w:pPr>
      <w:rPr>
        <w:rFonts w:ascii="Courier New" w:eastAsia="Courier New" w:hAnsi="Courier New" w:cs="Courier New" w:hint="default"/>
      </w:rPr>
    </w:lvl>
    <w:lvl w:ilvl="2" w:tplc="C4E400B6">
      <w:start w:val="1"/>
      <w:numFmt w:val="bullet"/>
      <w:lvlText w:val=""/>
      <w:lvlJc w:val="left"/>
      <w:pPr>
        <w:ind w:left="2160" w:hanging="360"/>
      </w:pPr>
      <w:rPr>
        <w:rFonts w:ascii="Wingdings" w:eastAsia="Wingdings" w:hAnsi="Wingdings" w:cs="Wingdings" w:hint="default"/>
      </w:rPr>
    </w:lvl>
    <w:lvl w:ilvl="3" w:tplc="A5B8FAFC">
      <w:start w:val="1"/>
      <w:numFmt w:val="bullet"/>
      <w:lvlText w:val=""/>
      <w:lvlJc w:val="left"/>
      <w:pPr>
        <w:ind w:left="2880" w:hanging="360"/>
      </w:pPr>
      <w:rPr>
        <w:rFonts w:ascii="Symbol" w:eastAsia="Symbol" w:hAnsi="Symbol" w:cs="Symbol" w:hint="default"/>
      </w:rPr>
    </w:lvl>
    <w:lvl w:ilvl="4" w:tplc="2E6E7DFE">
      <w:start w:val="1"/>
      <w:numFmt w:val="bullet"/>
      <w:lvlText w:val="o"/>
      <w:lvlJc w:val="left"/>
      <w:pPr>
        <w:ind w:left="3600" w:hanging="360"/>
      </w:pPr>
      <w:rPr>
        <w:rFonts w:ascii="Courier New" w:eastAsia="Courier New" w:hAnsi="Courier New" w:cs="Courier New" w:hint="default"/>
      </w:rPr>
    </w:lvl>
    <w:lvl w:ilvl="5" w:tplc="FCD4FA4E">
      <w:start w:val="1"/>
      <w:numFmt w:val="bullet"/>
      <w:lvlText w:val=""/>
      <w:lvlJc w:val="left"/>
      <w:pPr>
        <w:ind w:left="4320" w:hanging="360"/>
      </w:pPr>
      <w:rPr>
        <w:rFonts w:ascii="Wingdings" w:eastAsia="Wingdings" w:hAnsi="Wingdings" w:cs="Wingdings" w:hint="default"/>
      </w:rPr>
    </w:lvl>
    <w:lvl w:ilvl="6" w:tplc="356857D4">
      <w:start w:val="1"/>
      <w:numFmt w:val="bullet"/>
      <w:lvlText w:val=""/>
      <w:lvlJc w:val="left"/>
      <w:pPr>
        <w:ind w:left="5040" w:hanging="360"/>
      </w:pPr>
      <w:rPr>
        <w:rFonts w:ascii="Symbol" w:eastAsia="Symbol" w:hAnsi="Symbol" w:cs="Symbol" w:hint="default"/>
      </w:rPr>
    </w:lvl>
    <w:lvl w:ilvl="7" w:tplc="C87253FE">
      <w:start w:val="1"/>
      <w:numFmt w:val="bullet"/>
      <w:lvlText w:val="o"/>
      <w:lvlJc w:val="left"/>
      <w:pPr>
        <w:ind w:left="5760" w:hanging="360"/>
      </w:pPr>
      <w:rPr>
        <w:rFonts w:ascii="Courier New" w:eastAsia="Courier New" w:hAnsi="Courier New" w:cs="Courier New" w:hint="default"/>
      </w:rPr>
    </w:lvl>
    <w:lvl w:ilvl="8" w:tplc="9054907A">
      <w:start w:val="1"/>
      <w:numFmt w:val="bullet"/>
      <w:lvlText w:val=""/>
      <w:lvlJc w:val="left"/>
      <w:pPr>
        <w:ind w:left="6480" w:hanging="360"/>
      </w:pPr>
      <w:rPr>
        <w:rFonts w:ascii="Wingdings" w:eastAsia="Wingdings" w:hAnsi="Wingdings" w:cs="Wingdings" w:hint="default"/>
      </w:rPr>
    </w:lvl>
  </w:abstractNum>
  <w:abstractNum w:abstractNumId="4">
    <w:nsid w:val="21D65862"/>
    <w:multiLevelType w:val="hybridMultilevel"/>
    <w:tmpl w:val="DDD49E46"/>
    <w:lvl w:ilvl="0" w:tplc="89482DD8">
      <w:start w:val="1"/>
      <w:numFmt w:val="bullet"/>
      <w:lvlText w:val=""/>
      <w:lvlJc w:val="left"/>
      <w:pPr>
        <w:ind w:left="720" w:hanging="360"/>
      </w:pPr>
      <w:rPr>
        <w:rFonts w:ascii="Symbol" w:eastAsia="Symbol" w:hAnsi="Symbol" w:cs="Symbol" w:hint="default"/>
      </w:rPr>
    </w:lvl>
    <w:lvl w:ilvl="1" w:tplc="0A32785E">
      <w:start w:val="1"/>
      <w:numFmt w:val="bullet"/>
      <w:lvlText w:val="o"/>
      <w:lvlJc w:val="left"/>
      <w:pPr>
        <w:ind w:left="1440" w:hanging="360"/>
      </w:pPr>
      <w:rPr>
        <w:rFonts w:ascii="Courier New" w:eastAsia="Courier New" w:hAnsi="Courier New" w:cs="Courier New" w:hint="default"/>
      </w:rPr>
    </w:lvl>
    <w:lvl w:ilvl="2" w:tplc="47E45458">
      <w:start w:val="1"/>
      <w:numFmt w:val="bullet"/>
      <w:lvlText w:val=""/>
      <w:lvlJc w:val="left"/>
      <w:pPr>
        <w:ind w:left="2160" w:hanging="360"/>
      </w:pPr>
      <w:rPr>
        <w:rFonts w:ascii="Wingdings" w:eastAsia="Wingdings" w:hAnsi="Wingdings" w:cs="Wingdings" w:hint="default"/>
      </w:rPr>
    </w:lvl>
    <w:lvl w:ilvl="3" w:tplc="18D2A88C">
      <w:start w:val="1"/>
      <w:numFmt w:val="bullet"/>
      <w:lvlText w:val=""/>
      <w:lvlJc w:val="left"/>
      <w:pPr>
        <w:ind w:left="2880" w:hanging="360"/>
      </w:pPr>
      <w:rPr>
        <w:rFonts w:ascii="Symbol" w:eastAsia="Symbol" w:hAnsi="Symbol" w:cs="Symbol" w:hint="default"/>
      </w:rPr>
    </w:lvl>
    <w:lvl w:ilvl="4" w:tplc="73ECB598">
      <w:start w:val="1"/>
      <w:numFmt w:val="bullet"/>
      <w:lvlText w:val="o"/>
      <w:lvlJc w:val="left"/>
      <w:pPr>
        <w:ind w:left="3600" w:hanging="360"/>
      </w:pPr>
      <w:rPr>
        <w:rFonts w:ascii="Courier New" w:eastAsia="Courier New" w:hAnsi="Courier New" w:cs="Courier New" w:hint="default"/>
      </w:rPr>
    </w:lvl>
    <w:lvl w:ilvl="5" w:tplc="1D06EFAC">
      <w:start w:val="1"/>
      <w:numFmt w:val="bullet"/>
      <w:lvlText w:val=""/>
      <w:lvlJc w:val="left"/>
      <w:pPr>
        <w:ind w:left="4320" w:hanging="360"/>
      </w:pPr>
      <w:rPr>
        <w:rFonts w:ascii="Wingdings" w:eastAsia="Wingdings" w:hAnsi="Wingdings" w:cs="Wingdings" w:hint="default"/>
      </w:rPr>
    </w:lvl>
    <w:lvl w:ilvl="6" w:tplc="6332D0D8">
      <w:start w:val="1"/>
      <w:numFmt w:val="bullet"/>
      <w:lvlText w:val=""/>
      <w:lvlJc w:val="left"/>
      <w:pPr>
        <w:ind w:left="5040" w:hanging="360"/>
      </w:pPr>
      <w:rPr>
        <w:rFonts w:ascii="Symbol" w:eastAsia="Symbol" w:hAnsi="Symbol" w:cs="Symbol" w:hint="default"/>
      </w:rPr>
    </w:lvl>
    <w:lvl w:ilvl="7" w:tplc="76109FAA">
      <w:start w:val="1"/>
      <w:numFmt w:val="bullet"/>
      <w:lvlText w:val="o"/>
      <w:lvlJc w:val="left"/>
      <w:pPr>
        <w:ind w:left="5760" w:hanging="360"/>
      </w:pPr>
      <w:rPr>
        <w:rFonts w:ascii="Courier New" w:eastAsia="Courier New" w:hAnsi="Courier New" w:cs="Courier New" w:hint="default"/>
      </w:rPr>
    </w:lvl>
    <w:lvl w:ilvl="8" w:tplc="D52A26CA">
      <w:start w:val="1"/>
      <w:numFmt w:val="bullet"/>
      <w:lvlText w:val=""/>
      <w:lvlJc w:val="left"/>
      <w:pPr>
        <w:ind w:left="6480" w:hanging="360"/>
      </w:pPr>
      <w:rPr>
        <w:rFonts w:ascii="Wingdings" w:eastAsia="Wingdings" w:hAnsi="Wingdings" w:cs="Wingdings" w:hint="default"/>
      </w:rPr>
    </w:lvl>
  </w:abstractNum>
  <w:abstractNum w:abstractNumId="5">
    <w:nsid w:val="33847BA1"/>
    <w:multiLevelType w:val="multilevel"/>
    <w:tmpl w:val="57E8BA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443B4F20"/>
    <w:multiLevelType w:val="hybridMultilevel"/>
    <w:tmpl w:val="75A223AA"/>
    <w:lvl w:ilvl="0" w:tplc="73EA72F8">
      <w:start w:val="1"/>
      <w:numFmt w:val="bullet"/>
      <w:lvlText w:val=""/>
      <w:lvlJc w:val="left"/>
      <w:pPr>
        <w:ind w:left="720" w:hanging="360"/>
      </w:pPr>
      <w:rPr>
        <w:rFonts w:ascii="Symbol" w:eastAsia="Symbol" w:hAnsi="Symbol" w:cs="Symbol" w:hint="default"/>
      </w:rPr>
    </w:lvl>
    <w:lvl w:ilvl="1" w:tplc="00565FF2">
      <w:start w:val="1"/>
      <w:numFmt w:val="bullet"/>
      <w:lvlText w:val="o"/>
      <w:lvlJc w:val="left"/>
      <w:pPr>
        <w:ind w:left="1440" w:hanging="360"/>
      </w:pPr>
      <w:rPr>
        <w:rFonts w:ascii="Courier New" w:eastAsia="Courier New" w:hAnsi="Courier New" w:cs="Courier New" w:hint="default"/>
      </w:rPr>
    </w:lvl>
    <w:lvl w:ilvl="2" w:tplc="537ADCE4">
      <w:start w:val="1"/>
      <w:numFmt w:val="bullet"/>
      <w:lvlText w:val=""/>
      <w:lvlJc w:val="left"/>
      <w:pPr>
        <w:ind w:left="2160" w:hanging="360"/>
      </w:pPr>
      <w:rPr>
        <w:rFonts w:ascii="Wingdings" w:eastAsia="Wingdings" w:hAnsi="Wingdings" w:cs="Wingdings" w:hint="default"/>
      </w:rPr>
    </w:lvl>
    <w:lvl w:ilvl="3" w:tplc="D9647B5E">
      <w:start w:val="1"/>
      <w:numFmt w:val="bullet"/>
      <w:lvlText w:val=""/>
      <w:lvlJc w:val="left"/>
      <w:pPr>
        <w:ind w:left="2880" w:hanging="360"/>
      </w:pPr>
      <w:rPr>
        <w:rFonts w:ascii="Symbol" w:eastAsia="Symbol" w:hAnsi="Symbol" w:cs="Symbol" w:hint="default"/>
      </w:rPr>
    </w:lvl>
    <w:lvl w:ilvl="4" w:tplc="4E80182E">
      <w:start w:val="1"/>
      <w:numFmt w:val="bullet"/>
      <w:lvlText w:val="o"/>
      <w:lvlJc w:val="left"/>
      <w:pPr>
        <w:ind w:left="3600" w:hanging="360"/>
      </w:pPr>
      <w:rPr>
        <w:rFonts w:ascii="Courier New" w:eastAsia="Courier New" w:hAnsi="Courier New" w:cs="Courier New" w:hint="default"/>
      </w:rPr>
    </w:lvl>
    <w:lvl w:ilvl="5" w:tplc="237EDE4A">
      <w:start w:val="1"/>
      <w:numFmt w:val="bullet"/>
      <w:lvlText w:val=""/>
      <w:lvlJc w:val="left"/>
      <w:pPr>
        <w:ind w:left="4320" w:hanging="360"/>
      </w:pPr>
      <w:rPr>
        <w:rFonts w:ascii="Wingdings" w:eastAsia="Wingdings" w:hAnsi="Wingdings" w:cs="Wingdings" w:hint="default"/>
      </w:rPr>
    </w:lvl>
    <w:lvl w:ilvl="6" w:tplc="5F56E246">
      <w:start w:val="1"/>
      <w:numFmt w:val="bullet"/>
      <w:lvlText w:val=""/>
      <w:lvlJc w:val="left"/>
      <w:pPr>
        <w:ind w:left="5040" w:hanging="360"/>
      </w:pPr>
      <w:rPr>
        <w:rFonts w:ascii="Symbol" w:eastAsia="Symbol" w:hAnsi="Symbol" w:cs="Symbol" w:hint="default"/>
      </w:rPr>
    </w:lvl>
    <w:lvl w:ilvl="7" w:tplc="3D9CE2DE">
      <w:start w:val="1"/>
      <w:numFmt w:val="bullet"/>
      <w:lvlText w:val="o"/>
      <w:lvlJc w:val="left"/>
      <w:pPr>
        <w:ind w:left="5760" w:hanging="360"/>
      </w:pPr>
      <w:rPr>
        <w:rFonts w:ascii="Courier New" w:eastAsia="Courier New" w:hAnsi="Courier New" w:cs="Courier New" w:hint="default"/>
      </w:rPr>
    </w:lvl>
    <w:lvl w:ilvl="8" w:tplc="E6CCAA4C">
      <w:start w:val="1"/>
      <w:numFmt w:val="bullet"/>
      <w:lvlText w:val=""/>
      <w:lvlJc w:val="left"/>
      <w:pPr>
        <w:ind w:left="6480" w:hanging="360"/>
      </w:pPr>
      <w:rPr>
        <w:rFonts w:ascii="Wingdings" w:eastAsia="Wingdings" w:hAnsi="Wingdings" w:cs="Wingdings" w:hint="default"/>
      </w:rPr>
    </w:lvl>
  </w:abstractNum>
  <w:abstractNum w:abstractNumId="7">
    <w:nsid w:val="4B135EE1"/>
    <w:multiLevelType w:val="hybridMultilevel"/>
    <w:tmpl w:val="56CE7AB4"/>
    <w:lvl w:ilvl="0" w:tplc="B13498AA">
      <w:start w:val="1"/>
      <w:numFmt w:val="bullet"/>
      <w:lvlText w:val=""/>
      <w:lvlJc w:val="left"/>
      <w:pPr>
        <w:ind w:left="720" w:hanging="360"/>
      </w:pPr>
      <w:rPr>
        <w:rFonts w:ascii="Symbol" w:eastAsia="Symbol" w:hAnsi="Symbol" w:cs="Symbol" w:hint="default"/>
      </w:rPr>
    </w:lvl>
    <w:lvl w:ilvl="1" w:tplc="1A14EDEE">
      <w:start w:val="1"/>
      <w:numFmt w:val="bullet"/>
      <w:lvlText w:val="o"/>
      <w:lvlJc w:val="left"/>
      <w:pPr>
        <w:ind w:left="1440" w:hanging="360"/>
      </w:pPr>
      <w:rPr>
        <w:rFonts w:ascii="Courier New" w:eastAsia="Courier New" w:hAnsi="Courier New" w:cs="Courier New" w:hint="default"/>
      </w:rPr>
    </w:lvl>
    <w:lvl w:ilvl="2" w:tplc="68FE67DC">
      <w:start w:val="1"/>
      <w:numFmt w:val="bullet"/>
      <w:lvlText w:val=""/>
      <w:lvlJc w:val="left"/>
      <w:pPr>
        <w:ind w:left="2160" w:hanging="360"/>
      </w:pPr>
      <w:rPr>
        <w:rFonts w:ascii="Wingdings" w:eastAsia="Wingdings" w:hAnsi="Wingdings" w:cs="Wingdings" w:hint="default"/>
      </w:rPr>
    </w:lvl>
    <w:lvl w:ilvl="3" w:tplc="C75465EE">
      <w:start w:val="1"/>
      <w:numFmt w:val="bullet"/>
      <w:lvlText w:val=""/>
      <w:lvlJc w:val="left"/>
      <w:pPr>
        <w:ind w:left="2880" w:hanging="360"/>
      </w:pPr>
      <w:rPr>
        <w:rFonts w:ascii="Symbol" w:eastAsia="Symbol" w:hAnsi="Symbol" w:cs="Symbol" w:hint="default"/>
      </w:rPr>
    </w:lvl>
    <w:lvl w:ilvl="4" w:tplc="B810C9CE">
      <w:start w:val="1"/>
      <w:numFmt w:val="bullet"/>
      <w:lvlText w:val="o"/>
      <w:lvlJc w:val="left"/>
      <w:pPr>
        <w:ind w:left="3600" w:hanging="360"/>
      </w:pPr>
      <w:rPr>
        <w:rFonts w:ascii="Courier New" w:eastAsia="Courier New" w:hAnsi="Courier New" w:cs="Courier New" w:hint="default"/>
      </w:rPr>
    </w:lvl>
    <w:lvl w:ilvl="5" w:tplc="818EB5EE">
      <w:start w:val="1"/>
      <w:numFmt w:val="bullet"/>
      <w:lvlText w:val=""/>
      <w:lvlJc w:val="left"/>
      <w:pPr>
        <w:ind w:left="4320" w:hanging="360"/>
      </w:pPr>
      <w:rPr>
        <w:rFonts w:ascii="Wingdings" w:eastAsia="Wingdings" w:hAnsi="Wingdings" w:cs="Wingdings" w:hint="default"/>
      </w:rPr>
    </w:lvl>
    <w:lvl w:ilvl="6" w:tplc="DFA6919A">
      <w:start w:val="1"/>
      <w:numFmt w:val="bullet"/>
      <w:lvlText w:val=""/>
      <w:lvlJc w:val="left"/>
      <w:pPr>
        <w:ind w:left="5040" w:hanging="360"/>
      </w:pPr>
      <w:rPr>
        <w:rFonts w:ascii="Symbol" w:eastAsia="Symbol" w:hAnsi="Symbol" w:cs="Symbol" w:hint="default"/>
      </w:rPr>
    </w:lvl>
    <w:lvl w:ilvl="7" w:tplc="5AB675CE">
      <w:start w:val="1"/>
      <w:numFmt w:val="bullet"/>
      <w:lvlText w:val="o"/>
      <w:lvlJc w:val="left"/>
      <w:pPr>
        <w:ind w:left="5760" w:hanging="360"/>
      </w:pPr>
      <w:rPr>
        <w:rFonts w:ascii="Courier New" w:eastAsia="Courier New" w:hAnsi="Courier New" w:cs="Courier New" w:hint="default"/>
      </w:rPr>
    </w:lvl>
    <w:lvl w:ilvl="8" w:tplc="E1204514">
      <w:start w:val="1"/>
      <w:numFmt w:val="bullet"/>
      <w:lvlText w:val=""/>
      <w:lvlJc w:val="left"/>
      <w:pPr>
        <w:ind w:left="6480" w:hanging="360"/>
      </w:pPr>
      <w:rPr>
        <w:rFonts w:ascii="Wingdings" w:eastAsia="Wingdings" w:hAnsi="Wingdings" w:cs="Wingdings" w:hint="default"/>
      </w:rPr>
    </w:lvl>
  </w:abstractNum>
  <w:abstractNum w:abstractNumId="8">
    <w:nsid w:val="568C7054"/>
    <w:multiLevelType w:val="hybridMultilevel"/>
    <w:tmpl w:val="4EFED40A"/>
    <w:lvl w:ilvl="0" w:tplc="33EC4C82">
      <w:start w:val="1"/>
      <w:numFmt w:val="bullet"/>
      <w:lvlText w:val=""/>
      <w:lvlJc w:val="left"/>
      <w:pPr>
        <w:ind w:left="720" w:hanging="360"/>
      </w:pPr>
      <w:rPr>
        <w:rFonts w:ascii="Symbol" w:eastAsia="Symbol" w:hAnsi="Symbol" w:cs="Symbol" w:hint="default"/>
      </w:rPr>
    </w:lvl>
    <w:lvl w:ilvl="1" w:tplc="9E28F41A">
      <w:start w:val="1"/>
      <w:numFmt w:val="bullet"/>
      <w:lvlText w:val="o"/>
      <w:lvlJc w:val="left"/>
      <w:pPr>
        <w:ind w:left="1440" w:hanging="360"/>
      </w:pPr>
      <w:rPr>
        <w:rFonts w:ascii="Courier New" w:eastAsia="Courier New" w:hAnsi="Courier New" w:cs="Courier New" w:hint="default"/>
      </w:rPr>
    </w:lvl>
    <w:lvl w:ilvl="2" w:tplc="2566014A">
      <w:start w:val="1"/>
      <w:numFmt w:val="bullet"/>
      <w:lvlText w:val=""/>
      <w:lvlJc w:val="left"/>
      <w:pPr>
        <w:ind w:left="2160" w:hanging="360"/>
      </w:pPr>
      <w:rPr>
        <w:rFonts w:ascii="Wingdings" w:eastAsia="Wingdings" w:hAnsi="Wingdings" w:cs="Wingdings" w:hint="default"/>
      </w:rPr>
    </w:lvl>
    <w:lvl w:ilvl="3" w:tplc="ADFACC22">
      <w:start w:val="1"/>
      <w:numFmt w:val="bullet"/>
      <w:lvlText w:val=""/>
      <w:lvlJc w:val="left"/>
      <w:pPr>
        <w:ind w:left="2880" w:hanging="360"/>
      </w:pPr>
      <w:rPr>
        <w:rFonts w:ascii="Symbol" w:eastAsia="Symbol" w:hAnsi="Symbol" w:cs="Symbol" w:hint="default"/>
      </w:rPr>
    </w:lvl>
    <w:lvl w:ilvl="4" w:tplc="C492B380">
      <w:start w:val="1"/>
      <w:numFmt w:val="bullet"/>
      <w:lvlText w:val="o"/>
      <w:lvlJc w:val="left"/>
      <w:pPr>
        <w:ind w:left="3600" w:hanging="360"/>
      </w:pPr>
      <w:rPr>
        <w:rFonts w:ascii="Courier New" w:eastAsia="Courier New" w:hAnsi="Courier New" w:cs="Courier New" w:hint="default"/>
      </w:rPr>
    </w:lvl>
    <w:lvl w:ilvl="5" w:tplc="EAE27854">
      <w:start w:val="1"/>
      <w:numFmt w:val="bullet"/>
      <w:lvlText w:val=""/>
      <w:lvlJc w:val="left"/>
      <w:pPr>
        <w:ind w:left="4320" w:hanging="360"/>
      </w:pPr>
      <w:rPr>
        <w:rFonts w:ascii="Wingdings" w:eastAsia="Wingdings" w:hAnsi="Wingdings" w:cs="Wingdings" w:hint="default"/>
      </w:rPr>
    </w:lvl>
    <w:lvl w:ilvl="6" w:tplc="B08A498E">
      <w:start w:val="1"/>
      <w:numFmt w:val="bullet"/>
      <w:lvlText w:val=""/>
      <w:lvlJc w:val="left"/>
      <w:pPr>
        <w:ind w:left="5040" w:hanging="360"/>
      </w:pPr>
      <w:rPr>
        <w:rFonts w:ascii="Symbol" w:eastAsia="Symbol" w:hAnsi="Symbol" w:cs="Symbol" w:hint="default"/>
      </w:rPr>
    </w:lvl>
    <w:lvl w:ilvl="7" w:tplc="3C50328E">
      <w:start w:val="1"/>
      <w:numFmt w:val="bullet"/>
      <w:lvlText w:val="o"/>
      <w:lvlJc w:val="left"/>
      <w:pPr>
        <w:ind w:left="5760" w:hanging="360"/>
      </w:pPr>
      <w:rPr>
        <w:rFonts w:ascii="Courier New" w:eastAsia="Courier New" w:hAnsi="Courier New" w:cs="Courier New" w:hint="default"/>
      </w:rPr>
    </w:lvl>
    <w:lvl w:ilvl="8" w:tplc="BC0A494A">
      <w:start w:val="1"/>
      <w:numFmt w:val="bullet"/>
      <w:lvlText w:val=""/>
      <w:lvlJc w:val="left"/>
      <w:pPr>
        <w:ind w:left="6480" w:hanging="360"/>
      </w:pPr>
      <w:rPr>
        <w:rFonts w:ascii="Wingdings" w:eastAsia="Wingdings" w:hAnsi="Wingdings" w:cs="Wingdings" w:hint="default"/>
      </w:rPr>
    </w:lvl>
  </w:abstractNum>
  <w:abstractNum w:abstractNumId="9">
    <w:nsid w:val="58FC1312"/>
    <w:multiLevelType w:val="multilevel"/>
    <w:tmpl w:val="77B263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53E45E4"/>
    <w:multiLevelType w:val="hybridMultilevel"/>
    <w:tmpl w:val="01DE1A12"/>
    <w:lvl w:ilvl="0" w:tplc="7210519C">
      <w:start w:val="1"/>
      <w:numFmt w:val="decimal"/>
      <w:lvlText w:val="%1."/>
      <w:lvlJc w:val="left"/>
      <w:pPr>
        <w:ind w:left="360" w:hanging="360"/>
      </w:pPr>
      <w:rPr>
        <w:rFonts w:hint="default"/>
      </w:rPr>
    </w:lvl>
    <w:lvl w:ilvl="1" w:tplc="24122EE4">
      <w:start w:val="1"/>
      <w:numFmt w:val="lowerLetter"/>
      <w:lvlText w:val="%2."/>
      <w:lvlJc w:val="left"/>
      <w:pPr>
        <w:ind w:left="1080" w:hanging="360"/>
      </w:pPr>
    </w:lvl>
    <w:lvl w:ilvl="2" w:tplc="4468A550">
      <w:start w:val="1"/>
      <w:numFmt w:val="lowerRoman"/>
      <w:lvlText w:val="%3."/>
      <w:lvlJc w:val="right"/>
      <w:pPr>
        <w:ind w:left="1800" w:hanging="180"/>
      </w:pPr>
    </w:lvl>
    <w:lvl w:ilvl="3" w:tplc="67720B58">
      <w:start w:val="1"/>
      <w:numFmt w:val="decimal"/>
      <w:lvlText w:val="%4."/>
      <w:lvlJc w:val="left"/>
      <w:pPr>
        <w:ind w:left="2520" w:hanging="360"/>
      </w:pPr>
    </w:lvl>
    <w:lvl w:ilvl="4" w:tplc="7CB0FFF6">
      <w:start w:val="1"/>
      <w:numFmt w:val="lowerLetter"/>
      <w:lvlText w:val="%5."/>
      <w:lvlJc w:val="left"/>
      <w:pPr>
        <w:ind w:left="3240" w:hanging="360"/>
      </w:pPr>
    </w:lvl>
    <w:lvl w:ilvl="5" w:tplc="2506D6EE">
      <w:start w:val="1"/>
      <w:numFmt w:val="lowerRoman"/>
      <w:lvlText w:val="%6."/>
      <w:lvlJc w:val="right"/>
      <w:pPr>
        <w:ind w:left="3960" w:hanging="180"/>
      </w:pPr>
    </w:lvl>
    <w:lvl w:ilvl="6" w:tplc="26726DC4">
      <w:start w:val="1"/>
      <w:numFmt w:val="decimal"/>
      <w:lvlText w:val="%7."/>
      <w:lvlJc w:val="left"/>
      <w:pPr>
        <w:ind w:left="4680" w:hanging="360"/>
      </w:pPr>
    </w:lvl>
    <w:lvl w:ilvl="7" w:tplc="5CD821BE">
      <w:start w:val="1"/>
      <w:numFmt w:val="lowerLetter"/>
      <w:lvlText w:val="%8."/>
      <w:lvlJc w:val="left"/>
      <w:pPr>
        <w:ind w:left="5400" w:hanging="360"/>
      </w:pPr>
    </w:lvl>
    <w:lvl w:ilvl="8" w:tplc="E4B22AEC">
      <w:start w:val="1"/>
      <w:numFmt w:val="lowerRoman"/>
      <w:lvlText w:val="%9."/>
      <w:lvlJc w:val="right"/>
      <w:pPr>
        <w:ind w:left="6120" w:hanging="180"/>
      </w:pPr>
    </w:lvl>
  </w:abstractNum>
  <w:abstractNum w:abstractNumId="11">
    <w:nsid w:val="7BE67194"/>
    <w:multiLevelType w:val="hybridMultilevel"/>
    <w:tmpl w:val="22C2D162"/>
    <w:lvl w:ilvl="0" w:tplc="25D6D038">
      <w:start w:val="1"/>
      <w:numFmt w:val="bullet"/>
      <w:lvlText w:val=""/>
      <w:lvlJc w:val="left"/>
      <w:pPr>
        <w:ind w:left="720" w:hanging="360"/>
      </w:pPr>
      <w:rPr>
        <w:rFonts w:ascii="Symbol" w:eastAsia="Symbol" w:hAnsi="Symbol" w:cs="Symbol" w:hint="default"/>
      </w:rPr>
    </w:lvl>
    <w:lvl w:ilvl="1" w:tplc="9586A750">
      <w:start w:val="1"/>
      <w:numFmt w:val="bullet"/>
      <w:lvlText w:val="o"/>
      <w:lvlJc w:val="left"/>
      <w:pPr>
        <w:ind w:left="1440" w:hanging="360"/>
      </w:pPr>
      <w:rPr>
        <w:rFonts w:ascii="Courier New" w:eastAsia="Courier New" w:hAnsi="Courier New" w:cs="Courier New" w:hint="default"/>
      </w:rPr>
    </w:lvl>
    <w:lvl w:ilvl="2" w:tplc="36E8E790">
      <w:start w:val="1"/>
      <w:numFmt w:val="bullet"/>
      <w:lvlText w:val=""/>
      <w:lvlJc w:val="left"/>
      <w:pPr>
        <w:ind w:left="2160" w:hanging="360"/>
      </w:pPr>
      <w:rPr>
        <w:rFonts w:ascii="Wingdings" w:eastAsia="Wingdings" w:hAnsi="Wingdings" w:cs="Wingdings" w:hint="default"/>
      </w:rPr>
    </w:lvl>
    <w:lvl w:ilvl="3" w:tplc="1EF621D2">
      <w:start w:val="1"/>
      <w:numFmt w:val="bullet"/>
      <w:lvlText w:val=""/>
      <w:lvlJc w:val="left"/>
      <w:pPr>
        <w:ind w:left="2880" w:hanging="360"/>
      </w:pPr>
      <w:rPr>
        <w:rFonts w:ascii="Symbol" w:eastAsia="Symbol" w:hAnsi="Symbol" w:cs="Symbol" w:hint="default"/>
      </w:rPr>
    </w:lvl>
    <w:lvl w:ilvl="4" w:tplc="C8CCCB26">
      <w:start w:val="1"/>
      <w:numFmt w:val="bullet"/>
      <w:lvlText w:val="o"/>
      <w:lvlJc w:val="left"/>
      <w:pPr>
        <w:ind w:left="3600" w:hanging="360"/>
      </w:pPr>
      <w:rPr>
        <w:rFonts w:ascii="Courier New" w:eastAsia="Courier New" w:hAnsi="Courier New" w:cs="Courier New" w:hint="default"/>
      </w:rPr>
    </w:lvl>
    <w:lvl w:ilvl="5" w:tplc="1D7CA94A">
      <w:start w:val="1"/>
      <w:numFmt w:val="bullet"/>
      <w:lvlText w:val=""/>
      <w:lvlJc w:val="left"/>
      <w:pPr>
        <w:ind w:left="4320" w:hanging="360"/>
      </w:pPr>
      <w:rPr>
        <w:rFonts w:ascii="Wingdings" w:eastAsia="Wingdings" w:hAnsi="Wingdings" w:cs="Wingdings" w:hint="default"/>
      </w:rPr>
    </w:lvl>
    <w:lvl w:ilvl="6" w:tplc="F8382FF2">
      <w:start w:val="1"/>
      <w:numFmt w:val="bullet"/>
      <w:lvlText w:val=""/>
      <w:lvlJc w:val="left"/>
      <w:pPr>
        <w:ind w:left="5040" w:hanging="360"/>
      </w:pPr>
      <w:rPr>
        <w:rFonts w:ascii="Symbol" w:eastAsia="Symbol" w:hAnsi="Symbol" w:cs="Symbol" w:hint="default"/>
      </w:rPr>
    </w:lvl>
    <w:lvl w:ilvl="7" w:tplc="9DA42718">
      <w:start w:val="1"/>
      <w:numFmt w:val="bullet"/>
      <w:lvlText w:val="o"/>
      <w:lvlJc w:val="left"/>
      <w:pPr>
        <w:ind w:left="5760" w:hanging="360"/>
      </w:pPr>
      <w:rPr>
        <w:rFonts w:ascii="Courier New" w:eastAsia="Courier New" w:hAnsi="Courier New" w:cs="Courier New" w:hint="default"/>
      </w:rPr>
    </w:lvl>
    <w:lvl w:ilvl="8" w:tplc="23B2CCE2">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5"/>
  </w:num>
  <w:num w:numId="3">
    <w:abstractNumId w:val="9"/>
  </w:num>
  <w:num w:numId="4">
    <w:abstractNumId w:val="3"/>
  </w:num>
  <w:num w:numId="5">
    <w:abstractNumId w:val="4"/>
  </w:num>
  <w:num w:numId="6">
    <w:abstractNumId w:val="7"/>
  </w:num>
  <w:num w:numId="7">
    <w:abstractNumId w:val="6"/>
  </w:num>
  <w:num w:numId="8">
    <w:abstractNumId w:val="10"/>
  </w:num>
  <w:num w:numId="9">
    <w:abstractNumId w:val="11"/>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09"/>
    <w:rsid w:val="004776F8"/>
    <w:rsid w:val="00716171"/>
    <w:rsid w:val="007C2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TableGrid1">
    <w:name w:val="Table Grid1"/>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next w:val="Normal"/>
    <w:pPr>
      <w:autoSpaceDE w:val="0"/>
      <w:autoSpaceDN w:val="0"/>
      <w:adjustRightInd w:val="0"/>
    </w:pPr>
    <w:rPr>
      <w:color w:val="000000"/>
      <w:sz w:val="24"/>
      <w:szCs w:val="24"/>
    </w:rPr>
  </w:style>
  <w:style w:type="paragraph" w:customStyle="1" w:styleId="ListParagraph1">
    <w:name w:val="List Paragraph1"/>
    <w:basedOn w:val="Normal"/>
    <w:qFormat/>
    <w:pPr>
      <w:ind w:left="720"/>
      <w:contextualSpacing/>
    </w:pPr>
  </w:style>
  <w:style w:type="paragraph" w:styleId="Footer">
    <w:name w:val="footer"/>
    <w:basedOn w:val="Normal"/>
    <w:next w:val="Normal"/>
    <w:unhideWhenUsed/>
    <w:pPr>
      <w:tabs>
        <w:tab w:val="center" w:pos="4513"/>
        <w:tab w:val="right" w:pos="9026"/>
      </w:tabs>
    </w:pPr>
  </w:style>
  <w:style w:type="paragraph" w:styleId="BalloonText">
    <w:name w:val="Balloon Text"/>
    <w:basedOn w:val="Normal"/>
    <w:link w:val="BalloonTextChar"/>
    <w:uiPriority w:val="99"/>
    <w:semiHidden/>
    <w:unhideWhenUsed/>
    <w:rsid w:val="004776F8"/>
    <w:rPr>
      <w:rFonts w:ascii="Tahoma" w:hAnsi="Tahoma" w:cs="Tahoma"/>
      <w:sz w:val="16"/>
      <w:szCs w:val="16"/>
    </w:rPr>
  </w:style>
  <w:style w:type="character" w:customStyle="1" w:styleId="BalloonTextChar">
    <w:name w:val="Balloon Text Char"/>
    <w:basedOn w:val="DefaultParagraphFont"/>
    <w:link w:val="BalloonText"/>
    <w:uiPriority w:val="99"/>
    <w:semiHidden/>
    <w:rsid w:val="00477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TableGrid1">
    <w:name w:val="Table Grid1"/>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next w:val="Normal"/>
    <w:pPr>
      <w:autoSpaceDE w:val="0"/>
      <w:autoSpaceDN w:val="0"/>
      <w:adjustRightInd w:val="0"/>
    </w:pPr>
    <w:rPr>
      <w:color w:val="000000"/>
      <w:sz w:val="24"/>
      <w:szCs w:val="24"/>
    </w:rPr>
  </w:style>
  <w:style w:type="paragraph" w:customStyle="1" w:styleId="ListParagraph1">
    <w:name w:val="List Paragraph1"/>
    <w:basedOn w:val="Normal"/>
    <w:qFormat/>
    <w:pPr>
      <w:ind w:left="720"/>
      <w:contextualSpacing/>
    </w:pPr>
  </w:style>
  <w:style w:type="paragraph" w:styleId="Footer">
    <w:name w:val="footer"/>
    <w:basedOn w:val="Normal"/>
    <w:next w:val="Normal"/>
    <w:unhideWhenUsed/>
    <w:pPr>
      <w:tabs>
        <w:tab w:val="center" w:pos="4513"/>
        <w:tab w:val="right" w:pos="9026"/>
      </w:tabs>
    </w:pPr>
  </w:style>
  <w:style w:type="paragraph" w:styleId="BalloonText">
    <w:name w:val="Balloon Text"/>
    <w:basedOn w:val="Normal"/>
    <w:link w:val="BalloonTextChar"/>
    <w:uiPriority w:val="99"/>
    <w:semiHidden/>
    <w:unhideWhenUsed/>
    <w:rsid w:val="004776F8"/>
    <w:rPr>
      <w:rFonts w:ascii="Tahoma" w:hAnsi="Tahoma" w:cs="Tahoma"/>
      <w:sz w:val="16"/>
      <w:szCs w:val="16"/>
    </w:rPr>
  </w:style>
  <w:style w:type="character" w:customStyle="1" w:styleId="BalloonTextChar">
    <w:name w:val="Balloon Text Char"/>
    <w:basedOn w:val="DefaultParagraphFont"/>
    <w:link w:val="BalloonText"/>
    <w:uiPriority w:val="99"/>
    <w:semiHidden/>
    <w:rsid w:val="00477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Seetec</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2016-10-21T06:06:00Z</dcterms:created>
  <dcterms:modified xsi:type="dcterms:W3CDTF">2016-10-21T06:06:00Z</dcterms:modified>
</cp:coreProperties>
</file>